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71a6830089487c676053c9dce7ec5fa7291ab63"/>
    <w:p>
      <w:pPr>
        <w:pStyle w:val="Heading1"/>
      </w:pPr>
      <w:r>
        <w:t xml:space="preserve">AIPM AI Project of the Year Award: Nomination Form</w:t>
      </w:r>
    </w:p>
    <w:p>
      <w:pPr>
        <w:pStyle w:val="FirstParagraph"/>
      </w:pPr>
      <w:r>
        <w:rPr>
          <w:bCs/>
          <w:b/>
        </w:rPr>
        <w:t xml:space="preserve">Edition 1 (2026). Wave C, release candidate.</w:t>
      </w:r>
      <w:r>
        <w:t xml:space="preserve"> </w:t>
      </w:r>
      <w:r>
        <w:t xml:space="preserve">Status: pending fold-in of the subgroup comments due 2026-07-15.</w:t>
      </w:r>
    </w:p>
    <w:p>
      <w:pPr>
        <w:pStyle w:val="BodyText"/>
      </w:pPr>
      <w:r>
        <w:t xml:space="preserve">This nomination form is a</w:t>
      </w:r>
      <w:r>
        <w:t xml:space="preserve"> </w:t>
      </w:r>
      <w:r>
        <w:rPr>
          <w:bCs/>
          <w:b/>
        </w:rPr>
        <w:t xml:space="preserve">derived document</w:t>
      </w:r>
      <w:r>
        <w:t xml:space="preserve">. It derives from, and is subordinate to, the operating rules in</w:t>
      </w:r>
      <w:r>
        <w:t xml:space="preserve"> </w:t>
      </w:r>
      <w:r>
        <w:rPr>
          <w:rStyle w:val="VerbatimChar"/>
        </w:rPr>
        <w:t xml:space="preserve">operating-rules.md</w:t>
      </w:r>
      <w:r>
        <w:t xml:space="preserve"> </w:t>
      </w:r>
      <w:r>
        <w:t xml:space="preserve">(the single source of truth, the SSOT), and it is a sibling of the judge guide (</w:t>
      </w:r>
      <w:r>
        <w:rPr>
          <w:rStyle w:val="VerbatimChar"/>
        </w:rPr>
        <w:t xml:space="preserve">judge-guide.md</w:t>
      </w:r>
      <w:r>
        <w:t xml:space="preserve">), the scoring-sheet specification (</w:t>
      </w:r>
      <w:r>
        <w:rPr>
          <w:rStyle w:val="VerbatimChar"/>
        </w:rPr>
        <w:t xml:space="preserve">scoring-sheet-spec.md</w:t>
      </w:r>
      <w:r>
        <w:t xml:space="preserve">), and the evidence-pack guide (</w:t>
      </w:r>
      <w:r>
        <w:rPr>
          <w:rStyle w:val="VerbatimChar"/>
        </w:rPr>
        <w:t xml:space="preserve">evidence-pack-guide.md</w:t>
      </w:r>
      <w:r>
        <w:t xml:space="preserve">). Where anything on this form could be read to conflict with the operating rules,</w:t>
      </w:r>
      <w:r>
        <w:t xml:space="preserve"> </w:t>
      </w:r>
      <w:r>
        <w:rPr>
          <w:bCs/>
          <w:b/>
        </w:rPr>
        <w:t xml:space="preserve">the operating rules prevail</w:t>
      </w:r>
      <w:r>
        <w:t xml:space="preserve"> </w:t>
      </w:r>
      <w:r>
        <w:t xml:space="preserve">and this form is corrected. Section references written as</w:t>
      </w:r>
      <w:r>
        <w:t xml:space="preserve"> </w:t>
      </w:r>
      <w:r>
        <w:t xml:space="preserve">“</w:t>
      </w:r>
      <w:r>
        <w:t xml:space="preserve">Rules Section N</w:t>
      </w:r>
      <w:r>
        <w:t xml:space="preserve">”</w:t>
      </w:r>
      <w:r>
        <w:t xml:space="preserve"> </w:t>
      </w:r>
      <w:r>
        <w:t xml:space="preserve">or</w:t>
      </w:r>
      <w:r>
        <w:t xml:space="preserve"> </w:t>
      </w:r>
      <w:r>
        <w:t xml:space="preserve">“</w:t>
      </w:r>
      <w:r>
        <w:t xml:space="preserve">Rules clause N</w:t>
      </w:r>
      <w:r>
        <w:t xml:space="preserve">”</w:t>
      </w:r>
      <w:r>
        <w:t xml:space="preserve"> </w:t>
      </w:r>
      <w:r>
        <w:t xml:space="preserve">point to the operating rules. Nothing here is decided until the founders’ forum (Ricardo Vargas and Antonio Nieto-Rodriguez) ratifies it; every design choice below is the ambassadors’ recommendation for the forum to ratify.</w:t>
      </w:r>
    </w:p>
    <w:p>
      <w:pPr>
        <w:pStyle w:val="BodyText"/>
      </w:pPr>
      <w:r>
        <w:t xml:space="preserve">This form ships as an</w:t>
      </w:r>
      <w:r>
        <w:t xml:space="preserve"> </w:t>
      </w:r>
      <w:r>
        <w:rPr>
          <w:bCs/>
          <w:b/>
        </w:rPr>
        <w:t xml:space="preserve">editable DOCX</w:t>
      </w:r>
      <w:r>
        <w:t xml:space="preserve"> </w:t>
      </w:r>
      <w:r>
        <w:t xml:space="preserve">(a post-workflow pandoc export step; the workflow produces this Markdown). It is the AIPM analog of a candidature form: the Lead Nominator fills it in and submits it as the structured questionnaire part of a complete entry (Rules clause 6.1).</w:t>
      </w:r>
    </w:p>
    <w:p>
      <w:pPr>
        <w:pStyle w:val="BodyText"/>
      </w:pPr>
      <w:r>
        <w:t xml:space="preserve">House-style note: this text avoids the em-dash and the en-dash by design. Commas, parentheses, and colons carry the same work, and ranges are written with the word</w:t>
      </w:r>
      <w:r>
        <w:t xml:space="preserve"> </w:t>
      </w:r>
      <w:r>
        <w:t xml:space="preserve">“</w:t>
      </w:r>
      <w:r>
        <w:t xml:space="preserve">to</w:t>
      </w:r>
      <w:r>
        <w:t xml:space="preserve">”</w:t>
      </w:r>
      <w:r>
        <w:t xml:space="preserve"> </w:t>
      </w:r>
      <w:r>
        <w:t xml:space="preserve">(for example, 1 to 10).</w:t>
      </w:r>
    </w:p>
    <w:p>
      <w:pPr>
        <w:pStyle w:val="BodyText"/>
      </w:pPr>
      <w:r>
        <w:rPr>
          <w:bCs/>
          <w:b/>
        </w:rPr>
        <w:t xml:space="preserve">A note on two recommended numbers.</w:t>
      </w:r>
      <w:r>
        <w:t xml:space="preserve"> </w:t>
      </w:r>
      <w:r>
        <w:t xml:space="preserve">Two operational values on this form are set here for the first time because the operating rules delegate them to this form (Rules clause 6.6.5): the page budget and the maximum length of the short video. Both are clearly labeled RECOMMENDED values, both are the working-team proposal pending forum and subgroup confirmation, and each carries a one-line rationale. Neither is stated as a settled fact.</w:t>
      </w:r>
    </w:p>
    <w:p>
      <w:pPr>
        <w:pStyle w:val="BodyText"/>
      </w:pPr>
      <w:r>
        <w:rPr>
          <w:bCs/>
          <w:b/>
        </w:rPr>
        <w:t xml:space="preserve">Design spine (why this form is shaped the way it is).</w:t>
      </w:r>
      <w:r>
        <w:t xml:space="preserve"> </w:t>
      </w:r>
      <w:r>
        <w:t xml:space="preserve">The six questionnaire sections map one to one to the six rubric criteria, in rubric order, and each section prints its point value, which is that criterion’s published weight (Rules Section 8). When you answer a section, you are writing directly to the criterion a juror will score, against the same evidence a juror looks for (Judge Guide Section 5). Printing the point value inside the form is the transparency lever adapted from the PMI-GO candidature form, applied to our own six-criterion rubric.</w:t>
      </w:r>
    </w:p>
    <w:p>
      <w:r>
        <w:pict>
          <v:rect style="width:0;height:1.5pt" o:hralign="center" o:hrstd="t" o:hr="t"/>
        </w:pict>
      </w:r>
    </w:p>
    <w:bookmarkStart w:id="21" w:name="X4cab96d74bf426224bb2f8ee2e7043e274d9a70"/>
    <w:p>
      <w:pPr>
        <w:pStyle w:val="Heading2"/>
      </w:pPr>
      <w:r>
        <w:t xml:space="preserve">0. Header block (for the organizers; do not remove)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t xml:space="preserve">Award</w:t>
            </w:r>
          </w:p>
        </w:tc>
        <w:tc>
          <w:tcPr/>
          <w:p>
            <w:pPr>
              <w:pStyle w:val="Compact"/>
              <w:jc w:val="left"/>
            </w:pPr>
            <w:r>
              <w:t xml:space="preserve">AIPM AI Project of the Year Award</w:t>
            </w:r>
          </w:p>
        </w:tc>
      </w:tr>
      <w:tr>
        <w:tc>
          <w:tcPr/>
          <w:p>
            <w:pPr>
              <w:pStyle w:val="Compact"/>
              <w:jc w:val="left"/>
            </w:pPr>
            <w:r>
              <w:t xml:space="preserve">Edition</w:t>
            </w:r>
          </w:p>
        </w:tc>
        <w:tc>
          <w:tcPr/>
          <w:p>
            <w:pPr>
              <w:pStyle w:val="Compact"/>
              <w:jc w:val="left"/>
            </w:pPr>
            <w:r>
              <w:t xml:space="preserve">1 (2026)</w:t>
            </w:r>
          </w:p>
        </w:tc>
      </w:tr>
      <w:tr>
        <w:tc>
          <w:tcPr/>
          <w:p>
            <w:pPr>
              <w:pStyle w:val="Compact"/>
              <w:jc w:val="left"/>
            </w:pPr>
            <w:r>
              <w:t xml:space="preserve">Document</w:t>
            </w:r>
          </w:p>
        </w:tc>
        <w:tc>
          <w:tcPr/>
          <w:p>
            <w:pPr>
              <w:pStyle w:val="Compact"/>
              <w:jc w:val="left"/>
            </w:pPr>
            <w:r>
              <w:t xml:space="preserve">Nomination form (structured questionnaire)</w:t>
            </w:r>
          </w:p>
        </w:tc>
      </w:tr>
      <w:tr>
        <w:tc>
          <w:tcPr/>
          <w:p>
            <w:pPr>
              <w:pStyle w:val="Compact"/>
              <w:jc w:val="left"/>
            </w:pPr>
            <w:r>
              <w:t xml:space="preserve">Governing document</w:t>
            </w:r>
          </w:p>
        </w:tc>
        <w:tc>
          <w:tcPr/>
          <w:p>
            <w:pPr>
              <w:pStyle w:val="Compact"/>
              <w:jc w:val="left"/>
            </w:pPr>
            <w:r>
              <w:rPr>
                <w:rStyle w:val="VerbatimChar"/>
              </w:rPr>
              <w:t xml:space="preserve">operating-rules.md</w:t>
            </w:r>
            <w:r>
              <w:t xml:space="preserve"> </w:t>
            </w:r>
            <w:r>
              <w:t xml:space="preserve">(the SSOT); the rules prevail on any conflict</w:t>
            </w:r>
          </w:p>
        </w:tc>
      </w:tr>
      <w:tr>
        <w:tc>
          <w:tcPr/>
          <w:p>
            <w:pPr>
              <w:pStyle w:val="Compact"/>
              <w:jc w:val="left"/>
            </w:pPr>
            <w:r>
              <w:t xml:space="preserve">Status</w:t>
            </w:r>
          </w:p>
        </w:tc>
        <w:tc>
          <w:tcPr/>
          <w:p>
            <w:pPr>
              <w:pStyle w:val="Compact"/>
              <w:jc w:val="left"/>
            </w:pPr>
            <w:r>
              <w:t xml:space="preserve">Release candidate, pending the subgroup-comment fold-in due 2026-07-15</w:t>
            </w:r>
          </w:p>
        </w:tc>
      </w:tr>
      <w:tr>
        <w:tc>
          <w:tcPr/>
          <w:p>
            <w:pPr>
              <w:pStyle w:val="Compact"/>
              <w:jc w:val="left"/>
            </w:pPr>
            <w:r>
              <w:t xml:space="preserve">Ships as</w:t>
            </w:r>
          </w:p>
        </w:tc>
        <w:tc>
          <w:tcPr/>
          <w:p>
            <w:pPr>
              <w:pStyle w:val="Compact"/>
              <w:jc w:val="left"/>
            </w:pPr>
            <w:r>
              <w:t xml:space="preserve">Editable DOCX</w:t>
            </w:r>
          </w:p>
        </w:tc>
      </w:tr>
    </w:tbl>
    <w:p>
      <w:r>
        <w:pict>
          <v:rect style="width:0;height:1.5pt" o:hralign="center" o:hrstd="t" o:hr="t"/>
        </w:pict>
      </w:r>
    </w:p>
    <w:p>
      <w:pPr>
        <w:pStyle w:val="Heading2"/>
      </w:pPr>
      <w:bookmarkStart w:id="20" w:name="Xd85e61d4f80586c4ae9d17abfaae0a826503ec9"/>
      <w:r>
        <w:t xml:space="preserve">Read this first: the fairness rules that keep every entry comparable</w:t>
      </w:r>
      <w:bookmarkEnd w:id="20"/>
    </w:p>
    <w:p>
      <w:pPr>
        <w:pStyle w:val="BlockText"/>
      </w:pPr>
      <w:r>
        <w:t xml:space="preserve">This award is judged by a volunteer jury, and the whole point of this form is that every entry can be judged on the same basis. Seven rules protect that fairness. Several of them can cost you the entry if you break them, so they are stated up front, not buried. Section 1 explains each one in full.</w:t>
      </w:r>
    </w:p>
    <w:p>
      <w:pPr>
        <w:numPr>
          <w:ilvl w:val="0"/>
          <w:numId w:val="1001"/>
        </w:numPr>
        <w:pStyle w:val="Compact"/>
      </w:pPr>
      <w:r>
        <w:rPr>
          <w:bCs/>
          <w:b/>
        </w:rPr>
        <w:t xml:space="preserve">The form carries the evidence.</w:t>
      </w:r>
      <w:r>
        <w:t xml:space="preserve"> </w:t>
      </w:r>
      <w:r>
        <w:t xml:space="preserve">The core content of your answers does not rely on external links; write the substance into the form itself (Rules clause 6.6.1).</w:t>
      </w:r>
    </w:p>
    <w:p>
      <w:pPr>
        <w:numPr>
          <w:ilvl w:val="0"/>
          <w:numId w:val="1001"/>
        </w:numPr>
        <w:pStyle w:val="Compact"/>
      </w:pPr>
      <w:r>
        <w:rPr>
          <w:bCs/>
          <w:b/>
        </w:rPr>
        <w:t xml:space="preserve">The layout is fixed.</w:t>
      </w:r>
      <w:r>
        <w:t xml:space="preserve"> </w:t>
      </w:r>
      <w:r>
        <w:t xml:space="preserve">Do not re-order, restructure, or restyle the form; every entrant fills in the same shape (Rules clause 6.6.2).</w:t>
      </w:r>
    </w:p>
    <w:p>
      <w:pPr>
        <w:numPr>
          <w:ilvl w:val="0"/>
          <w:numId w:val="1001"/>
        </w:numPr>
        <w:pStyle w:val="Compact"/>
      </w:pPr>
      <w:r>
        <w:rPr>
          <w:bCs/>
          <w:b/>
        </w:rPr>
        <w:t xml:space="preserve">Each section has a length budget.</w:t>
      </w:r>
      <w:r>
        <w:t xml:space="preserve"> </w:t>
      </w:r>
      <w:r>
        <w:t xml:space="preserve">Stay within it so no section can crowd out the others (Rules clause 6.6.3).</w:t>
      </w:r>
    </w:p>
    <w:p>
      <w:pPr>
        <w:numPr>
          <w:ilvl w:val="0"/>
          <w:numId w:val="1001"/>
        </w:numPr>
        <w:pStyle w:val="Compact"/>
      </w:pPr>
      <w:r>
        <w:rPr>
          <w:bCs/>
          <w:b/>
        </w:rPr>
        <w:t xml:space="preserve">Delete every bracketed guidance note before you submit.</w:t>
      </w:r>
      <w:r>
        <w:t xml:space="preserve"> </w:t>
      </w:r>
      <w:r>
        <w:t xml:space="preserve">Text marked</w:t>
      </w:r>
      <w:r>
        <w:t xml:space="preserve"> </w:t>
      </w:r>
      <w:r>
        <w:rPr>
          <w:rStyle w:val="VerbatimChar"/>
        </w:rPr>
        <w:t xml:space="preserve">[GUIDANCE ...]</w:t>
      </w:r>
      <w:r>
        <w:t xml:space="preserve"> </w:t>
      </w:r>
      <w:r>
        <w:t xml:space="preserve">is instruction for you, not part of your entry, and must be gone from the final file (Rules clause 6.6.4).</w:t>
      </w:r>
    </w:p>
    <w:p>
      <w:pPr>
        <w:numPr>
          <w:ilvl w:val="0"/>
          <w:numId w:val="1001"/>
        </w:numPr>
        <w:pStyle w:val="Compact"/>
      </w:pPr>
      <w:r>
        <w:rPr>
          <w:bCs/>
          <w:b/>
        </w:rPr>
        <w:t xml:space="preserve">Everything you rely on must open without a login.</w:t>
      </w:r>
      <w:r>
        <w:t xml:space="preserve"> </w:t>
      </w:r>
      <w:r>
        <w:t xml:space="preserve">The video link and any permitted supporting link must be reachable with no account and no sign-in, or the entry may be disqualified (Rules clause 6.5).</w:t>
      </w:r>
    </w:p>
    <w:p>
      <w:pPr>
        <w:numPr>
          <w:ilvl w:val="0"/>
          <w:numId w:val="1001"/>
        </w:numPr>
        <w:pStyle w:val="Compact"/>
      </w:pPr>
      <w:r>
        <w:rPr>
          <w:bCs/>
          <w:b/>
        </w:rPr>
        <w:t xml:space="preserve">Stay within the page budget (clause 1.9) and the maximum video length (Section 7)</w:t>
      </w:r>
      <w:r>
        <w:t xml:space="preserve">, both set below as recommended operational values (Rules clause 6.6.5).</w:t>
      </w:r>
    </w:p>
    <w:p>
      <w:pPr>
        <w:numPr>
          <w:ilvl w:val="0"/>
          <w:numId w:val="1001"/>
        </w:numPr>
        <w:pStyle w:val="Compact"/>
      </w:pPr>
      <w:r>
        <w:rPr>
          <w:bCs/>
          <w:b/>
        </w:rPr>
        <w:t xml:space="preserve">The entry must be human-authored</w:t>
      </w:r>
      <w:r>
        <w:t xml:space="preserve"> </w:t>
      </w:r>
      <w:r>
        <w:t xml:space="preserve">and truthful; AIPM may verify any claim and may use detection tools (Rules clauses 9.2, 6.3, and 6.4).</w:t>
      </w:r>
    </w:p>
    <w:p>
      <w:pPr>
        <w:pStyle w:val="BlockText"/>
      </w:pPr>
      <w:r>
        <w:t xml:space="preserve">None of these rules cost money. All of them are published. They exist so that a strong project with a plain, honest write-up competes on equal footing, and a longer or link-padded entry has no advantage.</w:t>
      </w:r>
    </w:p>
    <w:p>
      <w:r>
        <w:pict>
          <v:rect style="width:0;height:1.5pt" o:hralign="center" o:hrstd="t" o:hr="t"/>
        </w:pict>
      </w:r>
    </w:p>
    <w:bookmarkEnd w:id="21"/>
    <w:bookmarkStart w:id="22" w:name="how-to-use-this-form"/>
    <w:p>
      <w:pPr>
        <w:pStyle w:val="Heading2"/>
      </w:pPr>
      <w:r>
        <w:t xml:space="preserve">1. How to use this form</w:t>
      </w:r>
    </w:p>
    <w:p>
      <w:pPr>
        <w:pStyle w:val="FirstParagraph"/>
      </w:pPr>
      <w:r>
        <w:t xml:space="preserve">Read this section before you begin. It sets the rules that make every entry fair and comparable. The companion</w:t>
      </w:r>
      <w:r>
        <w:t xml:space="preserve"> </w:t>
      </w:r>
      <w:r>
        <w:rPr>
          <w:bCs/>
          <w:b/>
        </w:rPr>
        <w:t xml:space="preserve">evidence-pack guide</w:t>
      </w:r>
      <w:r>
        <w:t xml:space="preserve"> </w:t>
      </w:r>
      <w:r>
        <w:t xml:space="preserve">(PDF) explains, in plain language, how to assemble the supporting evidence; keep it open beside you.</w:t>
      </w:r>
    </w:p>
    <w:p>
      <w:pPr>
        <w:pStyle w:val="BodyText"/>
      </w:pPr>
      <w:r>
        <w:rPr>
          <w:bCs/>
          <w:b/>
        </w:rPr>
        <w:t xml:space="preserve">This award is free to enter.</w:t>
      </w:r>
      <w:r>
        <w:t xml:space="preserve"> </w:t>
      </w:r>
      <w:r>
        <w:t xml:space="preserve">There is no fee to enter, no fee to be judged, and no charge for the badge, the certificate, or the logo use; participation is free end to end (Rules clause 1.3.2).</w:t>
      </w:r>
    </w:p>
    <w:p>
      <w:pPr>
        <w:pStyle w:val="BodyText"/>
      </w:pPr>
      <w:r>
        <w:rPr>
          <w:bCs/>
          <w:b/>
        </w:rPr>
        <w:t xml:space="preserve">1.1 Draft then final (Rules clause 5.4).</w:t>
      </w:r>
      <w:r>
        <w:t xml:space="preserve"> </w:t>
      </w:r>
      <w:r>
        <w:t xml:space="preserve">You may prepare and revise a draft of this form before you submit. Only the final submission is judged. Submit as final only when the form is complete and the bracketed guidance has been deleted.</w:t>
      </w:r>
    </w:p>
    <w:p>
      <w:pPr>
        <w:pStyle w:val="BodyText"/>
      </w:pPr>
      <w:r>
        <w:rPr>
          <w:bCs/>
          <w:b/>
        </w:rPr>
        <w:t xml:space="preserve">1.2 A complete entry (Rules clauses 5.5 and 6.1).</w:t>
      </w:r>
      <w:r>
        <w:t xml:space="preserve"> </w:t>
      </w:r>
      <w:r>
        <w:t xml:space="preserve">A complete entry for judging is this structured questionnaire (this form), plus the evidence pack (the supporting artifacts listed in Section 6), plus the short video (Section 7), together with the authorization, the truthfulness declaration, and the two consents (Sections 8 and 9). All parts are required.</w:t>
      </w:r>
    </w:p>
    <w:p>
      <w:pPr>
        <w:pStyle w:val="BodyText"/>
      </w:pPr>
      <w:r>
        <w:rPr>
          <w:bCs/>
          <w:b/>
        </w:rPr>
        <w:t xml:space="preserve">1.3 First gate first (Rules clause 5.3).</w:t>
      </w:r>
      <w:r>
        <w:t xml:space="preserve"> </w:t>
      </w:r>
      <w:r>
        <w:t xml:space="preserve">Screening begins with a first gate: a summary of at most 180 characters (Section 3). The 180-character limit is fixed by the rules, not a recommended value. You provide the summary before the full evidence pack is assembled, so the organizers can triage the entry.</w:t>
      </w:r>
    </w:p>
    <w:p>
      <w:pPr>
        <w:pStyle w:val="BodyText"/>
      </w:pPr>
      <w:r>
        <w:rPr>
          <w:bCs/>
          <w:b/>
        </w:rPr>
        <w:t xml:space="preserve">1.4 Fixed layout (Rules clause 6.6.2).</w:t>
      </w:r>
      <w:r>
        <w:t xml:space="preserve"> </w:t>
      </w:r>
      <w:r>
        <w:t xml:space="preserve">The layout of this form is fixed. Do not add, remove, reorder, or restyle sections. Fill in your responses in the response fields provided.</w:t>
      </w:r>
    </w:p>
    <w:p>
      <w:pPr>
        <w:pStyle w:val="BodyText"/>
      </w:pPr>
      <w:r>
        <w:rPr>
          <w:bCs/>
          <w:b/>
        </w:rPr>
        <w:t xml:space="preserve">1.5 The form carries the evidence, and no links in the core content (Rules clause 6.6.1).</w:t>
      </w:r>
      <w:r>
        <w:t xml:space="preserve"> </w:t>
      </w:r>
      <w:r>
        <w:t xml:space="preserve">The substance of your answers lives inside this form, not behind a link. Do not place the core content of any answer in an external link. The evidence pack (Section 6) and the short video (Section 7) are the only permitted supporting material outside the form body, and both must follow the access rule in clause 1.7.</w:t>
      </w:r>
    </w:p>
    <w:p>
      <w:pPr>
        <w:pStyle w:val="BodyText"/>
      </w:pPr>
      <w:r>
        <w:rPr>
          <w:bCs/>
          <w:b/>
        </w:rPr>
        <w:t xml:space="preserve">1.6 Per-section length budget (Rules clause 6.6.3).</w:t>
      </w:r>
      <w:r>
        <w:t xml:space="preserve"> </w:t>
      </w:r>
      <w:r>
        <w:t xml:space="preserve">Each questionnaire section has a length budget, printed in that section, so that no section can crowd out the others. Stay within the budget for each section; content beyond a section’s budget may not be read. These per-section budgets are the working-team recommended breakdown that implements the per-section-budget principle in the rules, pending forum and subgroup confirmation; the heavier-weighted criteria are given more room, which mirrors how they are scored.</w:t>
      </w:r>
    </w:p>
    <w:p>
      <w:pPr>
        <w:pStyle w:val="BodyText"/>
      </w:pPr>
      <w:r>
        <w:rPr>
          <w:bCs/>
          <w:b/>
        </w:rPr>
        <w:t xml:space="preserve">1.7 Accessible without login (Rules clauses 6.5 and 4.2.5).</w:t>
      </w:r>
      <w:r>
        <w:t xml:space="preserve"> </w:t>
      </w:r>
      <w:r>
        <w:t xml:space="preserve">Any material your nomination relies on, including the video link and any permitted supporting link, must be accessible without a login. Material that is behind a login, or that leads to a dead link, may cause the entry to be disqualified. This rule is adopted from the PMI global program. Before you submit, open every link in a signed-out browser window to confirm it works with no account.</w:t>
      </w:r>
    </w:p>
    <w:p>
      <w:pPr>
        <w:pStyle w:val="BodyText"/>
      </w:pPr>
      <w:r>
        <w:rPr>
          <w:bCs/>
          <w:b/>
        </w:rPr>
        <w:t xml:space="preserve">1.8 Delete the bracketed guidance before submitting (Rules clause 6.6.4).</w:t>
      </w:r>
      <w:r>
        <w:t xml:space="preserve"> </w:t>
      </w:r>
      <w:r>
        <w:t xml:space="preserve">Every block written inside square brackets and marked</w:t>
      </w:r>
      <w:r>
        <w:t xml:space="preserve"> </w:t>
      </w:r>
      <w:r>
        <w:rPr>
          <w:rStyle w:val="VerbatimChar"/>
        </w:rPr>
        <w:t xml:space="preserve">[GUIDANCE ...]</w:t>
      </w:r>
      <w:r>
        <w:t xml:space="preserve"> </w:t>
      </w:r>
      <w:r>
        <w:t xml:space="preserve">is instruction for you, not part of your entry. Delete every such block before you submit. The submission checklist in Section 10 asks you to confirm you have done this.</w:t>
      </w:r>
    </w:p>
    <w:p>
      <w:pPr>
        <w:pStyle w:val="BodyText"/>
      </w:pPr>
      <w:r>
        <w:rPr>
          <w:bCs/>
          <w:b/>
        </w:rPr>
        <w:t xml:space="preserve">1.9 Recommended page budget for this form (working team proposal; see Rules clause 6.6.5).</w:t>
      </w:r>
      <w:r>
        <w:t xml:space="preserve"> </w:t>
      </w:r>
      <w:r>
        <w:t xml:space="preserve">Rules clause 6.6.5 fixes the principle that a page limit applies and delegates the exact number to this form.</w:t>
      </w:r>
    </w:p>
    <w:p>
      <w:pPr>
        <w:pStyle w:val="BlockText"/>
      </w:pPr>
      <w:r>
        <w:rPr>
          <w:bCs/>
          <w:b/>
        </w:rPr>
        <w:t xml:space="preserve">RECOMMENDED OPERATIONAL VALUE (working team proposal, pending forum and subgroup confirmation).</w:t>
      </w:r>
      <w:r>
        <w:t xml:space="preserve"> </w:t>
      </w:r>
      <w:r>
        <w:t xml:space="preserve">The completed form (all sections, after the bracketed guidance is deleted) should not exceed</w:t>
      </w:r>
      <w:r>
        <w:t xml:space="preserve"> </w:t>
      </w:r>
      <w:r>
        <w:rPr>
          <w:bCs/>
          <w:b/>
        </w:rPr>
        <w:t xml:space="preserve">10 pages</w:t>
      </w:r>
      <w:r>
        <w:t xml:space="preserve">.</w:t>
      </w:r>
      <w:r>
        <w:t xml:space="preserve"> </w:t>
      </w:r>
      <w:r>
        <w:t xml:space="preserve">Rationale: meaningfully lighter than the PMI-GO 22-page ceiling (under half of it), so a global, volunteer-judged first edition stays comparable and readable. The evidence-pack artifacts in Section 6 are separate attachments and are not counted inside this 10-page form budget.</w:t>
      </w:r>
      <w:r>
        <w:t xml:space="preserve"> </w:t>
      </w:r>
      <w:r>
        <w:t xml:space="preserve">The PMI-GO 22-page figure is a principle reference only, not the source of our number. Our budget is lighter and its own.</w:t>
      </w:r>
      <w:r>
        <w:t xml:space="preserve"> </w:t>
      </w:r>
      <w:r>
        <w:t xml:space="preserve">This is the working team’s recommendation, not a settled figure; the forum and the 2026-07-15 subgroup confirm the number.</w:t>
      </w:r>
    </w:p>
    <w:p>
      <w:pPr>
        <w:pStyle w:val="FirstParagraph"/>
      </w:pPr>
      <w:r>
        <w:rPr>
          <w:bCs/>
          <w:b/>
        </w:rPr>
        <w:t xml:space="preserve">1.10 Recommended maximum video length (working team proposal; see Rules clause 6.6.5).</w:t>
      </w:r>
      <w:r>
        <w:t xml:space="preserve"> </w:t>
      </w:r>
      <w:r>
        <w:t xml:space="preserve">See Section 7 for the recommended maximum length of the short video (3 minutes), set here under the same delegation and pending the same confirmation.</w:t>
      </w:r>
    </w:p>
    <w:p>
      <w:pPr>
        <w:pStyle w:val="BodyText"/>
      </w:pPr>
      <w:r>
        <w:rPr>
          <w:bCs/>
          <w:b/>
        </w:rPr>
        <w:t xml:space="preserve">1.11 One entry per project; several projects per organization.</w:t>
      </w:r>
      <w:r>
        <w:t xml:space="preserve"> </w:t>
      </w:r>
      <w:r>
        <w:t xml:space="preserve">One entry is submitted per project (if you submit more than once for the same project, the latest final submission is the one judged). A single organization may enter several distinct projects, each as its own entry with its own Lead Nominator responsibility.</w:t>
      </w:r>
    </w:p>
    <w:p>
      <w:pPr>
        <w:pStyle w:val="BodyText"/>
      </w:pPr>
      <w:r>
        <w:rPr>
          <w:bCs/>
          <w:b/>
        </w:rPr>
        <w:t xml:space="preserve">1.12 The eligibility window (Decision #2, pending; Rules clause 4.1.4).</w:t>
      </w:r>
      <w:r>
        <w:t xml:space="preserve"> </w:t>
      </w:r>
      <w:r>
        <w:t xml:space="preserve">Your project must have been completed or operationalized within the approved eligibility window, measured at the nomination deadline. The window is an open decision for the forum. You enter your completion or operationalization date in Section 4, and the pending-ratification box sits there, beside that date, so you can see exactly which number will apply once the forum ratifies it.</w:t>
      </w:r>
    </w:p>
    <w:p>
      <w:pPr>
        <w:pStyle w:val="BodyText"/>
      </w:pPr>
      <w:r>
        <w:rPr>
          <w:bCs/>
          <w:b/>
        </w:rPr>
        <w:t xml:space="preserve">1.13 What happens after you submit (for context, not a field to fill).</w:t>
      </w:r>
      <w:r>
        <w:t xml:space="preserve"> </w:t>
      </w:r>
      <w:r>
        <w:t xml:space="preserve">Judging runs in two tiers, regional then global (Rules Section 7). If your entry clears your region’s published cut-off and is promoted, and then reaches the global round, you become a finalist and deliver a live online presentation with questions and answers as part of Tier 2 (Rules clauses 5.6 and 7.4.2). That finalist pitch is a later Tier-2 step; there is nothing to fill in for it on this form.</w:t>
      </w:r>
    </w:p>
    <w:p>
      <w:r>
        <w:pict>
          <v:rect style="width:0;height:1.5pt" o:hralign="center" o:hrstd="t" o:hr="t"/>
        </w:pict>
      </w:r>
    </w:p>
    <w:bookmarkEnd w:id="22"/>
    <w:bookmarkStart w:id="23" w:name="Xdf3215d55cc2f65b1514b4d6425204bb2f7e04a"/>
    <w:p>
      <w:pPr>
        <w:pStyle w:val="Heading2"/>
      </w:pPr>
      <w:r>
        <w:t xml:space="preserve">2. Rubric map (one form section to one rubric criterion)</w:t>
      </w:r>
    </w:p>
    <w:p>
      <w:pPr>
        <w:pStyle w:val="FirstParagraph"/>
      </w:pPr>
      <w:r>
        <w:t xml:space="preserve">The six questionnaire sections (Section 5) map one to one to the six rubric criteria, in rubric order. This table is the spine of the form. The weight column is the point value each section prints.</w:t>
      </w:r>
    </w:p>
    <w:tbl>
      <w:tblPr>
        <w:tblStyle w:val="Table"/>
        <w:tblW w:type="pct" w:w="5000"/>
        <w:tblLook w:firstRow="1" w:lastRow="0" w:firstColumn="0" w:lastColumn="0" w:noHBand="0" w:noVBand="0" w:val="0020"/>
        <w:jc w:val="start"/>
      </w:tblPr>
      <w:tblGrid>
        <w:gridCol w:w="1561"/>
        <w:gridCol w:w="3904"/>
        <w:gridCol w:w="2454"/>
      </w:tblGrid>
      <w:tr>
        <w:trPr>
          <w:tblHeader w:val="true"/>
        </w:trPr>
        <w:tc>
          <w:tcPr/>
          <w:p>
            <w:pPr>
              <w:pStyle w:val="Compact"/>
              <w:jc w:val="left"/>
            </w:pPr>
            <w:r>
              <w:t xml:space="preserve">Form section</w:t>
            </w:r>
          </w:p>
        </w:tc>
        <w:tc>
          <w:tcPr/>
          <w:p>
            <w:pPr>
              <w:pStyle w:val="Compact"/>
              <w:jc w:val="left"/>
            </w:pPr>
            <w:r>
              <w:t xml:space="preserve">Rubric criterion (Rules Section 8)</w:t>
            </w:r>
          </w:p>
        </w:tc>
        <w:tc>
          <w:tcPr/>
          <w:p>
            <w:pPr>
              <w:pStyle w:val="Compact"/>
              <w:jc w:val="left"/>
            </w:pPr>
            <w:r>
              <w:t xml:space="preserve">Point value (weight)</w:t>
            </w:r>
          </w:p>
        </w:tc>
      </w:tr>
      <w:tr>
        <w:tc>
          <w:tcPr/>
          <w:p>
            <w:pPr>
              <w:pStyle w:val="Compact"/>
              <w:jc w:val="left"/>
            </w:pPr>
            <w:r>
              <w:t xml:space="preserve">5.1</w:t>
            </w:r>
          </w:p>
        </w:tc>
        <w:tc>
          <w:tcPr/>
          <w:p>
            <w:pPr>
              <w:pStyle w:val="Compact"/>
              <w:jc w:val="left"/>
            </w:pPr>
            <w:r>
              <w:t xml:space="preserve">1. Outcomes, benefits and impact</w:t>
            </w:r>
          </w:p>
        </w:tc>
        <w:tc>
          <w:tcPr/>
          <w:p>
            <w:pPr>
              <w:pStyle w:val="Compact"/>
              <w:jc w:val="left"/>
            </w:pPr>
            <w:r>
              <w:t xml:space="preserve">25%</w:t>
            </w:r>
          </w:p>
        </w:tc>
      </w:tr>
      <w:tr>
        <w:tc>
          <w:tcPr/>
          <w:p>
            <w:pPr>
              <w:pStyle w:val="Compact"/>
              <w:jc w:val="left"/>
            </w:pPr>
            <w:r>
              <w:t xml:space="preserve">5.2</w:t>
            </w:r>
          </w:p>
        </w:tc>
        <w:tc>
          <w:tcPr/>
          <w:p>
            <w:pPr>
              <w:pStyle w:val="Compact"/>
              <w:jc w:val="left"/>
            </w:pPr>
            <w:r>
              <w:t xml:space="preserve">2. Responsible AI governance and Human-in-Command</w:t>
            </w:r>
          </w:p>
        </w:tc>
        <w:tc>
          <w:tcPr/>
          <w:p>
            <w:pPr>
              <w:pStyle w:val="Compact"/>
              <w:jc w:val="left"/>
            </w:pPr>
            <w:r>
              <w:t xml:space="preserve">20%</w:t>
            </w:r>
          </w:p>
        </w:tc>
      </w:tr>
      <w:tr>
        <w:tc>
          <w:tcPr/>
          <w:p>
            <w:pPr>
              <w:pStyle w:val="Compact"/>
              <w:jc w:val="left"/>
            </w:pPr>
            <w:r>
              <w:t xml:space="preserve">5.3</w:t>
            </w:r>
          </w:p>
        </w:tc>
        <w:tc>
          <w:tcPr/>
          <w:p>
            <w:pPr>
              <w:pStyle w:val="Compact"/>
              <w:jc w:val="left"/>
            </w:pPr>
            <w:r>
              <w:t xml:space="preserve">3. Adoption and change management</w:t>
            </w:r>
          </w:p>
        </w:tc>
        <w:tc>
          <w:tcPr/>
          <w:p>
            <w:pPr>
              <w:pStyle w:val="Compact"/>
              <w:jc w:val="left"/>
            </w:pPr>
            <w:r>
              <w:t xml:space="preserve">15%</w:t>
            </w:r>
          </w:p>
        </w:tc>
      </w:tr>
      <w:tr>
        <w:tc>
          <w:tcPr/>
          <w:p>
            <w:pPr>
              <w:pStyle w:val="Compact"/>
              <w:jc w:val="left"/>
            </w:pPr>
            <w:r>
              <w:t xml:space="preserve">5.4</w:t>
            </w:r>
          </w:p>
        </w:tc>
        <w:tc>
          <w:tcPr/>
          <w:p>
            <w:pPr>
              <w:pStyle w:val="Compact"/>
              <w:jc w:val="left"/>
            </w:pPr>
            <w:r>
              <w:t xml:space="preserve">4. AI solution fit and innovation</w:t>
            </w:r>
          </w:p>
        </w:tc>
        <w:tc>
          <w:tcPr/>
          <w:p>
            <w:pPr>
              <w:pStyle w:val="Compact"/>
              <w:jc w:val="left"/>
            </w:pPr>
            <w:r>
              <w:t xml:space="preserve">15%</w:t>
            </w:r>
          </w:p>
        </w:tc>
      </w:tr>
      <w:tr>
        <w:tc>
          <w:tcPr/>
          <w:p>
            <w:pPr>
              <w:pStyle w:val="Compact"/>
              <w:jc w:val="left"/>
            </w:pPr>
            <w:r>
              <w:t xml:space="preserve">5.5</w:t>
            </w:r>
          </w:p>
        </w:tc>
        <w:tc>
          <w:tcPr/>
          <w:p>
            <w:pPr>
              <w:pStyle w:val="Compact"/>
              <w:jc w:val="left"/>
            </w:pPr>
            <w:r>
              <w:t xml:space="preserve">5. Project management and delivery rigor</w:t>
            </w:r>
          </w:p>
        </w:tc>
        <w:tc>
          <w:tcPr/>
          <w:p>
            <w:pPr>
              <w:pStyle w:val="Compact"/>
              <w:jc w:val="left"/>
            </w:pPr>
            <w:r>
              <w:t xml:space="preserve">15%</w:t>
            </w:r>
          </w:p>
        </w:tc>
      </w:tr>
      <w:tr>
        <w:tc>
          <w:tcPr/>
          <w:p>
            <w:pPr>
              <w:pStyle w:val="Compact"/>
              <w:jc w:val="left"/>
            </w:pPr>
            <w:r>
              <w:t xml:space="preserve">5.6</w:t>
            </w:r>
          </w:p>
        </w:tc>
        <w:tc>
          <w:tcPr/>
          <w:p>
            <w:pPr>
              <w:pStyle w:val="Compact"/>
              <w:jc w:val="left"/>
            </w:pPr>
            <w:r>
              <w:t xml:space="preserve">6. Learning and contribution to the community</w:t>
            </w:r>
          </w:p>
        </w:tc>
        <w:tc>
          <w:tcPr/>
          <w:p>
            <w:pPr>
              <w:pStyle w:val="Compact"/>
              <w:jc w:val="left"/>
            </w:pPr>
            <w:r>
              <w:t xml:space="preserve">10%</w:t>
            </w:r>
          </w:p>
        </w:tc>
      </w:tr>
      <w:tr>
        <w:tc>
          <w:tcPr/>
          <w:p>
            <w:pPr>
              <w:pStyle w:val="Compact"/>
            </w:pPr>
          </w:p>
        </w:tc>
        <w:tc>
          <w:tcPr/>
          <w:p>
            <w:pPr>
              <w:pStyle w:val="Compact"/>
              <w:jc w:val="left"/>
            </w:pPr>
            <w:r>
              <w:rPr>
                <w:bCs/>
                <w:b/>
              </w:rPr>
              <w:t xml:space="preserve">Total</w:t>
            </w:r>
          </w:p>
        </w:tc>
        <w:tc>
          <w:tcPr/>
          <w:p>
            <w:pPr>
              <w:pStyle w:val="Compact"/>
              <w:jc w:val="left"/>
            </w:pPr>
            <w:r>
              <w:rPr>
                <w:bCs/>
                <w:b/>
              </w:rPr>
              <w:t xml:space="preserve">100%</w:t>
            </w:r>
          </w:p>
        </w:tc>
      </w:tr>
    </w:tbl>
    <w:p>
      <w:pPr>
        <w:pStyle w:val="BodyText"/>
      </w:pPr>
      <w:r>
        <w:t xml:space="preserve">Criteria 1, 2, and 3 carry 60% of the weight combined (Rules clause 8.2): the rubric rewards durable change and real adoption over model novelty. A technically impressive AI solution cannot win without credible evidence of outcomes, responsible governance, and real adoption. Each criterion is scored from 1 to 10, and unsupported assertions score in the 1 to 2 band (Rules clauses 8.4 and 8.5). Write evidence, not assertion.</w:t>
      </w:r>
    </w:p>
    <w:p>
      <w:r>
        <w:pict>
          <v:rect style="width:0;height:1.5pt" o:hralign="center" o:hrstd="t" o:hr="t"/>
        </w:pict>
      </w:r>
    </w:p>
    <w:bookmarkEnd w:id="23"/>
    <w:bookmarkStart w:id="24" w:name="first-gate-the-180-character-summary"/>
    <w:p>
      <w:pPr>
        <w:pStyle w:val="Heading2"/>
      </w:pPr>
      <w:r>
        <w:t xml:space="preserve">3. First gate: the 180-character summary</w:t>
      </w:r>
    </w:p>
    <w:p>
      <w:pPr>
        <w:pStyle w:val="FirstParagraph"/>
      </w:pPr>
      <w:r>
        <w:rPr>
          <w:rStyle w:val="VerbatimChar"/>
        </w:rPr>
        <w:t xml:space="preserve">[GUIDANCE: In one sentence, say what the project is and the AI-enabled result it delivered. This is the triage gate (Rules clause 5.3). The 180-character limit is fixed and is counted including spaces. Aim to state the real result, not a slogan. Example shape, not to copy: "AI-assisted triage cut public-service-desk handling time and was adopted across all regional offices." Do not use a link here. Delete this guidance block before submitting.]</w:t>
      </w:r>
    </w:p>
    <w:p>
      <w:pPr>
        <w:pStyle w:val="BodyText"/>
      </w:pPr>
      <w:r>
        <w:rPr>
          <w:bCs/>
          <w:b/>
        </w:rPr>
        <w:t xml:space="preserve">First-gate summary (at most 180 characters, including spaces):</w:t>
      </w:r>
    </w:p>
    <w:p>
      <w:pPr>
        <w:pStyle w:val="BodyText"/>
      </w:pPr>
      <w:r>
        <w:t xml:space="preserve">Your response:</w:t>
      </w:r>
      <w:r>
        <w:t xml:space="preserve"> </w:t>
      </w:r>
      <w:r>
        <w:rPr>
          <w:rStyle w:val="VerbatimChar"/>
        </w:rPr>
        <w:t xml:space="preserve">__________________________________________________________________</w:t>
      </w:r>
    </w:p>
    <w:p>
      <w:pPr>
        <w:pStyle w:val="BodyText"/>
      </w:pPr>
      <w:r>
        <w:t xml:space="preserve">Character count (fill in, including spaces): ____ / 180</w:t>
      </w:r>
    </w:p>
    <w:p>
      <w:r>
        <w:pict>
          <v:rect style="width:0;height:1.5pt" o:hralign="center" o:hrstd="t" o:hr="t"/>
        </w:pict>
      </w:r>
    </w:p>
    <w:bookmarkEnd w:id="24"/>
    <w:bookmarkStart w:id="25" w:name="X846ccb4aea943c9834467b111acab0953c3f378"/>
    <w:p>
      <w:pPr>
        <w:pStyle w:val="Heading2"/>
      </w:pPr>
      <w:r>
        <w:t xml:space="preserve">4. Lead Nominator and project identification</w:t>
      </w:r>
    </w:p>
    <w:p>
      <w:pPr>
        <w:pStyle w:val="FirstParagraph"/>
      </w:pPr>
      <w:r>
        <w:rPr>
          <w:rStyle w:val="VerbatimChar"/>
        </w:rPr>
        <w:t xml:space="preserve">[GUIDANCE: A single named Lead Nominator owns this entry, is the sole point of contact, and holds responsibility for its truthfulness, authorization, and consents (Rules clauses 2.2 and 5.1). Fill in every field. Delete this guidance block before submitting.]</w:t>
      </w:r>
    </w:p>
    <w:p>
      <w:pPr>
        <w:pStyle w:val="BodyText"/>
      </w:pPr>
      <w:r>
        <w:rPr>
          <w:bCs/>
          <w:b/>
        </w:rPr>
        <w:t xml:space="preserve">4.1 Lead Nominator</w:t>
      </w:r>
    </w:p>
    <w:tbl>
      <w:tblPr>
        <w:tblStyle w:val="Table"/>
        <w:tblW w:type="pct" w:w="5000"/>
        <w:tblLook w:firstRow="1" w:lastRow="0" w:firstColumn="0" w:lastColumn="0" w:noHBand="0" w:noVBand="0" w:val="0020"/>
        <w:jc w:val="start"/>
      </w:tblPr>
      <w:tblGrid>
        <w:gridCol w:w="2520"/>
        <w:gridCol w:w="5400"/>
      </w:tblGrid>
      <w:tr>
        <w:trPr>
          <w:tblHeader w:val="true"/>
        </w:trPr>
        <w:tc>
          <w:tcPr/>
          <w:p>
            <w:pPr>
              <w:pStyle w:val="Compact"/>
              <w:jc w:val="left"/>
            </w:pPr>
            <w:r>
              <w:t xml:space="preserve">Field</w:t>
            </w:r>
          </w:p>
        </w:tc>
        <w:tc>
          <w:tcPr/>
          <w:p>
            <w:pPr>
              <w:pStyle w:val="Compact"/>
              <w:jc w:val="left"/>
            </w:pPr>
            <w:r>
              <w:t xml:space="preserve">Your response</w:t>
            </w:r>
          </w:p>
        </w:tc>
      </w:tr>
      <w:tr>
        <w:tc>
          <w:tcPr/>
          <w:p>
            <w:pPr>
              <w:pStyle w:val="Compact"/>
              <w:jc w:val="left"/>
            </w:pPr>
            <w:r>
              <w:t xml:space="preserve">Full name</w:t>
            </w:r>
          </w:p>
        </w:tc>
        <w:tc>
          <w:tcPr/>
          <w:p>
            <w:pPr>
              <w:pStyle w:val="Compact"/>
            </w:pPr>
          </w:p>
        </w:tc>
      </w:tr>
      <w:tr>
        <w:tc>
          <w:tcPr/>
          <w:p>
            <w:pPr>
              <w:pStyle w:val="Compact"/>
              <w:jc w:val="left"/>
            </w:pPr>
            <w:r>
              <w:t xml:space="preserve">Role or title</w:t>
            </w:r>
          </w:p>
        </w:tc>
        <w:tc>
          <w:tcPr/>
          <w:p>
            <w:pPr>
              <w:pStyle w:val="Compact"/>
            </w:pPr>
          </w:p>
        </w:tc>
      </w:tr>
      <w:tr>
        <w:tc>
          <w:tcPr/>
          <w:p>
            <w:pPr>
              <w:pStyle w:val="Compact"/>
              <w:jc w:val="left"/>
            </w:pPr>
            <w:r>
              <w:t xml:space="preserve">Organization</w:t>
            </w:r>
          </w:p>
        </w:tc>
        <w:tc>
          <w:tcPr/>
          <w:p>
            <w:pPr>
              <w:pStyle w:val="Compact"/>
            </w:pPr>
          </w:p>
        </w:tc>
      </w:tr>
      <w:tr>
        <w:tc>
          <w:tcPr/>
          <w:p>
            <w:pPr>
              <w:pStyle w:val="Compact"/>
              <w:jc w:val="left"/>
            </w:pPr>
            <w:r>
              <w:t xml:space="preserve">Email (point of contact)</w:t>
            </w:r>
          </w:p>
        </w:tc>
        <w:tc>
          <w:tcPr/>
          <w:p>
            <w:pPr>
              <w:pStyle w:val="Compact"/>
            </w:pPr>
          </w:p>
        </w:tc>
      </w:tr>
      <w:tr>
        <w:tc>
          <w:tcPr/>
          <w:p>
            <w:pPr>
              <w:pStyle w:val="Compact"/>
              <w:jc w:val="left"/>
            </w:pPr>
            <w:r>
              <w:t xml:space="preserve">Country or region base</w:t>
            </w:r>
          </w:p>
        </w:tc>
        <w:tc>
          <w:tcPr/>
          <w:p>
            <w:pPr>
              <w:pStyle w:val="Compact"/>
            </w:pPr>
          </w:p>
        </w:tc>
      </w:tr>
      <w:tr>
        <w:tc>
          <w:tcPr/>
          <w:p>
            <w:pPr>
              <w:pStyle w:val="Compact"/>
              <w:jc w:val="left"/>
            </w:pPr>
            <w:r>
              <w:t xml:space="preserve">Region of entry (Americas, EMEA, or Asia-Pacific; assigned by affinity, not only residence, Rules clause 7.3)</w:t>
            </w:r>
          </w:p>
        </w:tc>
        <w:tc>
          <w:tcPr/>
          <w:p>
            <w:pPr>
              <w:pStyle w:val="Compact"/>
            </w:pPr>
          </w:p>
        </w:tc>
      </w:tr>
    </w:tbl>
    <w:p>
      <w:pPr>
        <w:pStyle w:val="BodyText"/>
      </w:pPr>
      <w:r>
        <w:rPr>
          <w:rStyle w:val="VerbatimChar"/>
        </w:rPr>
        <w:t xml:space="preserve">[GUIDANCE: Region is assigned by affinity, not only by residence (Rules clause 7.3). If you are linked to a region by language or working ties rather than where you live, choose that region and note the basis, for example "EMEA, project delivered for a client in Kenya". Delete this guidance block before submitting.]</w:t>
      </w:r>
    </w:p>
    <w:p>
      <w:pPr>
        <w:pStyle w:val="BodyText"/>
      </w:pPr>
      <w:r>
        <w:rPr>
          <w:bCs/>
          <w:b/>
        </w:rPr>
        <w:t xml:space="preserve">4.2 Nomination type (tick one; Rules clauses 4.3.2 and 5.2).</w:t>
      </w:r>
    </w:p>
    <w:p>
      <w:pPr>
        <w:numPr>
          <w:ilvl w:val="0"/>
          <w:numId w:val="1002"/>
        </w:numPr>
        <w:pStyle w:val="Compact"/>
      </w:pPr>
      <w:r>
        <w:t xml:space="preserve">☐ Self-nomination (I am entering my own project)</w:t>
      </w:r>
    </w:p>
    <w:p>
      <w:pPr>
        <w:numPr>
          <w:ilvl w:val="0"/>
          <w:numId w:val="1002"/>
        </w:numPr>
        <w:pStyle w:val="Compact"/>
      </w:pPr>
      <w:r>
        <w:t xml:space="preserve">☐ Open peer nomination (I am nominating another party’s project, as the Lead Nominator and point of contact)</w:t>
      </w:r>
    </w:p>
    <w:p>
      <w:pPr>
        <w:numPr>
          <w:ilvl w:val="0"/>
          <w:numId w:val="1002"/>
        </w:numPr>
        <w:pStyle w:val="Compact"/>
      </w:pPr>
      <w:r>
        <w:t xml:space="preserve">☐ Joint entry (spotlight on the practitioner or delivery team leading adoption, Rules clause 4.3.3)</w:t>
      </w:r>
    </w:p>
    <w:p>
      <w:pPr>
        <w:pStyle w:val="FirstParagraph"/>
      </w:pPr>
      <w:r>
        <w:rPr>
          <w:bCs/>
          <w:b/>
        </w:rPr>
        <w:t xml:space="preserve">4.3 Project identification</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Your response</w:t>
            </w:r>
          </w:p>
        </w:tc>
      </w:tr>
      <w:tr>
        <w:tc>
          <w:tcPr/>
          <w:p>
            <w:pPr>
              <w:pStyle w:val="Compact"/>
              <w:jc w:val="left"/>
            </w:pPr>
            <w:r>
              <w:t xml:space="preserve">Project name</w:t>
            </w:r>
          </w:p>
        </w:tc>
        <w:tc>
          <w:tcPr/>
          <w:p>
            <w:pPr>
              <w:pStyle w:val="Compact"/>
            </w:pPr>
          </w:p>
        </w:tc>
      </w:tr>
      <w:tr>
        <w:tc>
          <w:tcPr/>
          <w:p>
            <w:pPr>
              <w:pStyle w:val="Compact"/>
              <w:jc w:val="left"/>
            </w:pPr>
            <w:r>
              <w:t xml:space="preserve">Organization that ran the project</w:t>
            </w:r>
          </w:p>
        </w:tc>
        <w:tc>
          <w:tcPr/>
          <w:p>
            <w:pPr>
              <w:pStyle w:val="Compact"/>
            </w:pPr>
          </w:p>
        </w:tc>
      </w:tr>
      <w:tr>
        <w:tc>
          <w:tcPr/>
          <w:p>
            <w:pPr>
              <w:pStyle w:val="Compact"/>
              <w:jc w:val="left"/>
            </w:pPr>
            <w:r>
              <w:t xml:space="preserve">Country or countries of delivery</w:t>
            </w:r>
          </w:p>
        </w:tc>
        <w:tc>
          <w:tcPr/>
          <w:p>
            <w:pPr>
              <w:pStyle w:val="Compact"/>
            </w:pPr>
          </w:p>
        </w:tc>
      </w:tr>
      <w:tr>
        <w:tc>
          <w:tcPr/>
          <w:p>
            <w:pPr>
              <w:pStyle w:val="Compact"/>
              <w:jc w:val="left"/>
            </w:pPr>
            <w:r>
              <w:t xml:space="preserve">Sector or domain</w:t>
            </w:r>
          </w:p>
        </w:tc>
        <w:tc>
          <w:tcPr/>
          <w:p>
            <w:pPr>
              <w:pStyle w:val="Compact"/>
            </w:pPr>
          </w:p>
        </w:tc>
      </w:tr>
      <w:tr>
        <w:tc>
          <w:tcPr/>
          <w:p>
            <w:pPr>
              <w:pStyle w:val="Compact"/>
              <w:jc w:val="left"/>
            </w:pPr>
            <w:r>
              <w:t xml:space="preserve">Project start date</w:t>
            </w:r>
          </w:p>
        </w:tc>
        <w:tc>
          <w:tcPr/>
          <w:p>
            <w:pPr>
              <w:pStyle w:val="Compact"/>
            </w:pPr>
          </w:p>
        </w:tc>
      </w:tr>
      <w:tr>
        <w:tc>
          <w:tcPr/>
          <w:p>
            <w:pPr>
              <w:pStyle w:val="Compact"/>
              <w:jc w:val="left"/>
            </w:pPr>
            <w:r>
              <w:t xml:space="preserve">Project completion or operationalization date</w:t>
            </w:r>
          </w:p>
        </w:tc>
        <w:tc>
          <w:tcPr/>
          <w:p>
            <w:pPr>
              <w:pStyle w:val="Compact"/>
            </w:pPr>
          </w:p>
        </w:tc>
      </w:tr>
    </w:tbl>
    <w:p>
      <w:pPr>
        <w:pStyle w:val="BodyText"/>
      </w:pPr>
      <w:r>
        <w:t xml:space="preserve">The completion or operationalization date above is checked against the approved eligibility window, measured at the nomination deadline (Rules clause 4.1.4). That window is an open decision for the forum:</w:t>
      </w:r>
    </w:p>
    <w:p>
      <w:pPr>
        <w:pStyle w:val="BlockText"/>
      </w:pPr>
      <w:r>
        <w:rPr>
          <w:bCs/>
          <w:b/>
        </w:rPr>
        <w:t xml:space="preserve">PENDING RATIFICATION (Decision #2: Eligibility window)</w:t>
      </w:r>
      <w:r>
        <w:t xml:space="preserve"> </w:t>
      </w:r>
      <w:r>
        <w:rPr>
          <w:bCs/>
          <w:b/>
        </w:rPr>
        <w:t xml:space="preserve">Recommended:</w:t>
      </w:r>
      <w:r>
        <w:t xml:space="preserve"> </w:t>
      </w:r>
      <w:r>
        <w:t xml:space="preserve">18 months at the nomination deadline, measured from project completion or operationalization.</w:t>
      </w:r>
      <w:r>
        <w:t xml:space="preserve"> </w:t>
      </w:r>
      <w:r>
        <w:rPr>
          <w:bCs/>
          <w:b/>
        </w:rPr>
        <w:t xml:space="preserve">Alternative:</w:t>
      </w:r>
      <w:r>
        <w:t xml:space="preserve"> </w:t>
      </w:r>
      <w:r>
        <w:t xml:space="preserve">24 months, for a wider first field.</w:t>
      </w:r>
      <w:r>
        <w:t xml:space="preserve"> </w:t>
      </w:r>
      <w:r>
        <w:t xml:space="preserve">The forum decides.</w:t>
      </w:r>
    </w:p>
    <w:p>
      <w:pPr>
        <w:pStyle w:val="FirstParagraph"/>
      </w:pPr>
      <w:r>
        <w:rPr>
          <w:rStyle w:val="VerbatimChar"/>
        </w:rPr>
        <w:t xml:space="preserve">[GUIDANCE: Until the forum ratifies the window, treat the narrower recommended bound as provisional (see the pending box above and clause 1.12). If your completion or operationalization date sits between 18 and 24 months before the deadline, flag it in the field below so the organizers can check it against the ratified window. Delete this guidance block before submitting.]</w:t>
      </w:r>
    </w:p>
    <w:tbl>
      <w:tblPr>
        <w:tblStyle w:val="Table"/>
        <w:tblW w:type="pct" w:w="5000"/>
        <w:tblLook w:firstRow="1" w:lastRow="0" w:firstColumn="0" w:lastColumn="0" w:noHBand="0" w:noVBand="0" w:val="0020"/>
        <w:jc w:val="start"/>
      </w:tblPr>
      <w:tblGrid>
        <w:gridCol w:w="2520"/>
        <w:gridCol w:w="5400"/>
      </w:tblGrid>
      <w:tr>
        <w:trPr>
          <w:tblHeader w:val="true"/>
        </w:trPr>
        <w:tc>
          <w:tcPr/>
          <w:p>
            <w:pPr>
              <w:pStyle w:val="Compact"/>
              <w:jc w:val="left"/>
            </w:pPr>
            <w:r>
              <w:t xml:space="preserve">Field</w:t>
            </w:r>
          </w:p>
        </w:tc>
        <w:tc>
          <w:tcPr/>
          <w:p>
            <w:pPr>
              <w:pStyle w:val="Compact"/>
              <w:jc w:val="left"/>
            </w:pPr>
            <w:r>
              <w:t xml:space="preserve">Your response</w:t>
            </w:r>
          </w:p>
        </w:tc>
      </w:tr>
      <w:tr>
        <w:tc>
          <w:tcPr/>
          <w:p>
            <w:pPr>
              <w:pStyle w:val="Compact"/>
              <w:jc w:val="left"/>
            </w:pPr>
            <w:r>
              <w:t xml:space="preserve">Confirmation that the completion or operationalization date falls within the provisional recommended window (see the pending box)</w:t>
            </w:r>
          </w:p>
        </w:tc>
        <w:tc>
          <w:tcPr/>
          <w:p>
            <w:pPr>
              <w:pStyle w:val="Compact"/>
              <w:jc w:val="left"/>
            </w:pPr>
            <w:r>
              <w:t xml:space="preserve">[yes / no]</w:t>
            </w:r>
          </w:p>
        </w:tc>
      </w:tr>
      <w:tr>
        <w:tc>
          <w:tcPr/>
          <w:p>
            <w:pPr>
              <w:pStyle w:val="Compact"/>
              <w:jc w:val="left"/>
            </w:pPr>
            <w:r>
              <w:t xml:space="preserve">If the date sits between 18 and 24 months before the deadline, note it here for the organizers to check</w:t>
            </w:r>
          </w:p>
        </w:tc>
        <w:tc>
          <w:tcPr/>
          <w:p>
            <w:pPr>
              <w:pStyle w:val="Compact"/>
            </w:pPr>
          </w:p>
        </w:tc>
      </w:tr>
    </w:tbl>
    <w:p>
      <w:pPr>
        <w:pStyle w:val="BodyText"/>
      </w:pPr>
      <w:r>
        <w:rPr>
          <w:bCs/>
          <w:b/>
        </w:rPr>
        <w:t xml:space="preserve">4.4 Eligibility self-check (confirm each; Rules Section 4).</w:t>
      </w:r>
      <w:r>
        <w:t xml:space="preserve"> </w:t>
      </w:r>
      <w:r>
        <w:t xml:space="preserve">Tick to confirm:</w:t>
      </w:r>
    </w:p>
    <w:p>
      <w:pPr>
        <w:numPr>
          <w:ilvl w:val="0"/>
          <w:numId w:val="1003"/>
        </w:numPr>
        <w:pStyle w:val="Compact"/>
      </w:pPr>
      <w:r>
        <w:t xml:space="preserve">☐ AI is a meaningful component of the project, not a decorative add-on (Rules clause 4.1.1).</w:t>
      </w:r>
    </w:p>
    <w:p>
      <w:pPr>
        <w:numPr>
          <w:ilvl w:val="0"/>
          <w:numId w:val="1003"/>
        </w:numPr>
        <w:pStyle w:val="Compact"/>
      </w:pPr>
      <w:r>
        <w:t xml:space="preserve">☐ The work is beyond proof of concept: completed, delivered, piloted in a real setting, or operationalized, with evidence (Rules clause 4.1.2).</w:t>
      </w:r>
    </w:p>
    <w:p>
      <w:pPr>
        <w:numPr>
          <w:ilvl w:val="0"/>
          <w:numId w:val="1003"/>
        </w:numPr>
        <w:pStyle w:val="Compact"/>
      </w:pPr>
      <w:r>
        <w:t xml:space="preserve">☐ The project falls inside the provisional recommended eligibility window (Rules clause 4.1.4; see the pending box in clause 4.3).</w:t>
      </w:r>
    </w:p>
    <w:p>
      <w:pPr>
        <w:numPr>
          <w:ilvl w:val="0"/>
          <w:numId w:val="1003"/>
        </w:numPr>
        <w:pStyle w:val="Compact"/>
      </w:pPr>
      <w:r>
        <w:t xml:space="preserve">☐ The entry includes responsible-AI evidence (Rules clause 4.1.5) and adoption evidence, not only deployment evidence (Rules clause 4.1.6); see Section 6.</w:t>
      </w:r>
    </w:p>
    <w:p>
      <w:pPr>
        <w:pStyle w:val="FirstParagraph"/>
      </w:pPr>
      <w:r>
        <w:rPr>
          <w:bCs/>
          <w:b/>
        </w:rPr>
        <w:t xml:space="preserve">4.5 Joint-entry note (fill in only if this is a joint entry).</w:t>
      </w:r>
      <w:r>
        <w:t xml:space="preserve"> </w:t>
      </w:r>
      <w:r>
        <w:t xml:space="preserve">Where the entry is joint (for example, a vendor together with a practitioner or delivery team), the spotlight is on the practitioner or delivery team leading adoption, and a single Lead Nominator owns the entry (Rules clauses 4.1.8 and 4.3.3).</w:t>
      </w:r>
    </w:p>
    <w:p>
      <w:pPr>
        <w:pStyle w:val="BodyText"/>
      </w:pPr>
      <w:r>
        <w:t xml:space="preserve">Your response (name the practitioner or delivery team in the spotlight, if joint):</w:t>
      </w:r>
      <w:r>
        <w:t xml:space="preserve"> </w:t>
      </w:r>
      <w:r>
        <w:rPr>
          <w:rStyle w:val="VerbatimChar"/>
        </w:rPr>
        <w:t xml:space="preserve">__________________________________________________________________</w:t>
      </w:r>
    </w:p>
    <w:p>
      <w:pPr>
        <w:pStyle w:val="BodyText"/>
      </w:pPr>
      <w:r>
        <w:rPr>
          <w:bCs/>
          <w:b/>
        </w:rPr>
        <w:t xml:space="preserve">4.6 One entry per project.</w:t>
      </w:r>
      <w:r>
        <w:t xml:space="preserve"> </w:t>
      </w:r>
      <w:r>
        <w:t xml:space="preserve">By submitting, you confirm this is the single entry for this project (latest final submission wins) and that any other projects your organization enters are submitted as separate entries (clause 1.11).</w:t>
      </w:r>
    </w:p>
    <w:p>
      <w:r>
        <w:pict>
          <v:rect style="width:0;height:1.5pt" o:hralign="center" o:hrstd="t" o:hr="t"/>
        </w:pict>
      </w:r>
    </w:p>
    <w:bookmarkEnd w:id="25"/>
    <w:bookmarkStart w:id="32" w:name="X257cbbbe1f10dc820a09b66ed605caff19b804a"/>
    <w:p>
      <w:pPr>
        <w:pStyle w:val="Heading2"/>
      </w:pPr>
      <w:r>
        <w:t xml:space="preserve">5. The structured questionnaire (six rubric-mapped sections)</w:t>
      </w:r>
    </w:p>
    <w:p>
      <w:pPr>
        <w:pStyle w:val="FirstParagraph"/>
      </w:pPr>
      <w:r>
        <w:rPr>
          <w:rStyle w:val="VerbatimChar"/>
        </w:rPr>
        <w:t xml:space="preserve">[GUIDANCE for the whole of Section 5: Answer each of the six sections below. Each section prints its point value (the criterion weight), states what that criterion assesses and the typical evidence a juror looks for (verbatim from the judge guide), carries a plain-language read of how the bands apply, and sets a recommended word budget. Write evidence, not assertion: a juror scores what can be verified from your evidence pack, and unsupported assertions score in the 1 to 2 band (Rules clauses 8.5 and 9.4). Under each answer, name the specific evidence-pack items (Section 6) that back it. Delete this guidance block, and every other guidance block, before submitting.]</w:t>
      </w:r>
    </w:p>
    <w:bookmarkStart w:id="26" w:name="outcomes-benefits-and-impact"/>
    <w:p>
      <w:pPr>
        <w:pStyle w:val="Heading3"/>
      </w:pPr>
      <w:r>
        <w:t xml:space="preserve">5.1 Outcomes, benefits and impact</w:t>
      </w:r>
    </w:p>
    <w:p>
      <w:pPr>
        <w:pStyle w:val="FirstParagraph"/>
      </w:pPr>
      <w:r>
        <w:rPr>
          <w:bCs/>
          <w:b/>
        </w:rPr>
        <w:t xml:space="preserve">Point value: 25% of the total score (Rubric Criterion 1, Rules Section 8). The single heaviest criterion.</w:t>
      </w:r>
    </w:p>
    <w:p>
      <w:pPr>
        <w:pStyle w:val="BodyText"/>
      </w:pPr>
      <w:r>
        <w:rPr>
          <w:bCs/>
          <w:b/>
        </w:rPr>
        <w:t xml:space="preserve">What this criterion assesses (Judge Guide Section 5):</w:t>
      </w:r>
      <w:r>
        <w:t xml:space="preserve"> </w:t>
      </w:r>
      <w:r>
        <w:t xml:space="preserve">“</w:t>
      </w:r>
      <w:r>
        <w:t xml:space="preserve">Measurable value, before and after evidence, benefits realized, organizational or societal impact.</w:t>
      </w:r>
      <w:r>
        <w:t xml:space="preserve">”</w:t>
      </w:r>
    </w:p>
    <w:p>
      <w:pPr>
        <w:pStyle w:val="BodyText"/>
      </w:pPr>
      <w:r>
        <w:rPr>
          <w:bCs/>
          <w:b/>
        </w:rPr>
        <w:t xml:space="preserve">Typical evidence to reference:</w:t>
      </w:r>
      <w:r>
        <w:t xml:space="preserve"> </w:t>
      </w:r>
      <w:r>
        <w:t xml:space="preserve">“</w:t>
      </w:r>
      <w:r>
        <w:t xml:space="preserve">Baseline and actual metrics, benefits report, ROI, public value, operational improvements.</w:t>
      </w:r>
      <w:r>
        <w:t xml:space="preserve">”</w:t>
      </w:r>
    </w:p>
    <w:p>
      <w:pPr>
        <w:pStyle w:val="BodyText"/>
      </w:pPr>
      <w:r>
        <w:rPr>
          <w:bCs/>
          <w:b/>
        </w:rPr>
        <w:t xml:space="preserve">Plain guidance.</w:t>
      </w:r>
      <w:r>
        <w:t xml:space="preserve"> </w:t>
      </w:r>
      <w:r>
        <w:t xml:space="preserve">State the problem, then the result, and tie the result to a starting point. A strong answer shows a stated baseline, an actual result measured against it, and benefits that are realized rather than projected. An answer that gives a figure with no baseline to compare it against reads as adequate at best; a claim of impact with no number and no source scores in the lowest band.</w:t>
      </w:r>
    </w:p>
    <w:p>
      <w:pPr>
        <w:pStyle w:val="BodyText"/>
      </w:pPr>
      <w:r>
        <w:rPr>
          <w:bCs/>
          <w:b/>
        </w:rPr>
        <w:t xml:space="preserve">Recommended length budget (working-team value, pending confirmation): up to 450 words.</w:t>
      </w:r>
    </w:p>
    <w:p>
      <w:pPr>
        <w:pStyle w:val="BodyText"/>
      </w:pPr>
      <w:r>
        <w:rPr>
          <w:rStyle w:val="VerbatimChar"/>
        </w:rPr>
        <w:t xml:space="preserve">[GUIDANCE: State the baseline, the actual result measured against that baseline, and the benefits that were realized (not merely projected). Give numbers and name the source artifact in Section 6 for each. A 9 to 10 answer shows a stated baseline, an actual measured against it, and realized benefits; a 1 to 2 answer claims impact with no number and no source (Judge Guide clause 5.4.1). Avoid "significant", "substantial", and "large" with no number behind them. Delete this guidance block before submitting.]</w:t>
      </w:r>
    </w:p>
    <w:p>
      <w:pPr>
        <w:pStyle w:val="BodyText"/>
      </w:pPr>
      <w:r>
        <w:t xml:space="preserve">Your response (up to 450 words):</w:t>
      </w:r>
      <w:r>
        <w:t xml:space="preserve"> </w:t>
      </w:r>
      <w:r>
        <w:rPr>
          <w:rStyle w:val="VerbatimChar"/>
        </w:rPr>
        <w:t xml:space="preserve">__________________________________________________________________</w:t>
      </w:r>
    </w:p>
    <w:p>
      <w:pPr>
        <w:pStyle w:val="BodyText"/>
      </w:pPr>
      <w:r>
        <w:rPr>
          <w:bCs/>
          <w:b/>
        </w:rPr>
        <w:t xml:space="preserve">Evidence-pack items that support this answer:</w:t>
      </w:r>
      <w:r>
        <w:t xml:space="preserve"> </w:t>
      </w:r>
      <w:r>
        <w:rPr>
          <w:rStyle w:val="VerbatimChar"/>
        </w:rPr>
        <w:t xml:space="preserve">______________________________</w:t>
      </w:r>
    </w:p>
    <w:bookmarkEnd w:id="26"/>
    <w:bookmarkStart w:id="27" w:name="Xbc5ddb8d0e9b8f8217fe314e77832906b3fd10f"/>
    <w:p>
      <w:pPr>
        <w:pStyle w:val="Heading3"/>
      </w:pPr>
      <w:r>
        <w:t xml:space="preserve">5.2 Responsible AI governance and Human-in-Command</w:t>
      </w:r>
    </w:p>
    <w:p>
      <w:pPr>
        <w:pStyle w:val="FirstParagraph"/>
      </w:pPr>
      <w:r>
        <w:rPr>
          <w:bCs/>
          <w:b/>
        </w:rPr>
        <w:t xml:space="preserve">Point value: 20% of the total score (Rubric Criterion 2, Rules Section 8). This section also anchors the Excellence in Responsible AI recognition (Rules clause 3.3).</w:t>
      </w:r>
    </w:p>
    <w:p>
      <w:pPr>
        <w:pStyle w:val="BodyText"/>
      </w:pPr>
      <w:r>
        <w:rPr>
          <w:bCs/>
          <w:b/>
        </w:rPr>
        <w:t xml:space="preserve">What this criterion assesses (Judge Guide Section 5):</w:t>
      </w:r>
      <w:r>
        <w:t xml:space="preserve"> </w:t>
      </w:r>
      <w:r>
        <w:t xml:space="preserve">“</w:t>
      </w:r>
      <w:r>
        <w:t xml:space="preserve">Ethics, risk controls, accountability, transparency, privacy, security, bias controls, and human oversight.</w:t>
      </w:r>
      <w:r>
        <w:t xml:space="preserve">”</w:t>
      </w:r>
    </w:p>
    <w:p>
      <w:pPr>
        <w:pStyle w:val="BodyText"/>
      </w:pPr>
      <w:r>
        <w:rPr>
          <w:bCs/>
          <w:b/>
        </w:rPr>
        <w:t xml:space="preserve">Typical evidence to reference:</w:t>
      </w:r>
      <w:r>
        <w:t xml:space="preserve"> </w:t>
      </w:r>
      <w:r>
        <w:t xml:space="preserve">“</w:t>
      </w:r>
      <w:r>
        <w:t xml:space="preserve">AI governance artifacts, risk or ethics review, privacy review, audit trail, human-approval model.</w:t>
      </w:r>
      <w:r>
        <w:t xml:space="preserve">”</w:t>
      </w:r>
    </w:p>
    <w:p>
      <w:pPr>
        <w:pStyle w:val="BodyText"/>
      </w:pPr>
      <w:r>
        <w:rPr>
          <w:bCs/>
          <w:b/>
        </w:rPr>
        <w:t xml:space="preserve">Plain guidance.</w:t>
      </w:r>
      <w:r>
        <w:t xml:space="preserve"> </w:t>
      </w:r>
      <w:r>
        <w:t xml:space="preserve">Responsible-AI evidence is required to enter (Rules clause 4.1.5), and this section is where you show it. A strong answer shows the governance artifact plus the human-approval model actually operating: an audit trail, a documented risk or ethics review, and a point where a human signs off. Naming a policy without showing it in use reads as adequate at best; asserting the model</w:t>
      </w:r>
      <w:r>
        <w:t xml:space="preserve"> </w:t>
      </w:r>
      <w:r>
        <w:t xml:space="preserve">“</w:t>
      </w:r>
      <w:r>
        <w:t xml:space="preserve">is fair and safe</w:t>
      </w:r>
      <w:r>
        <w:t xml:space="preserve">”</w:t>
      </w:r>
      <w:r>
        <w:t xml:space="preserve"> </w:t>
      </w:r>
      <w:r>
        <w:t xml:space="preserve">with no risk review, no bias control, and no oversight point scores in the lowest band.</w:t>
      </w:r>
    </w:p>
    <w:p>
      <w:pPr>
        <w:pStyle w:val="BodyText"/>
      </w:pPr>
      <w:r>
        <w:rPr>
          <w:bCs/>
          <w:b/>
        </w:rPr>
        <w:t xml:space="preserve">Recommended length budget (working-team value, pending confirmation): up to 350 words.</w:t>
      </w:r>
    </w:p>
    <w:p>
      <w:pPr>
        <w:pStyle w:val="BodyText"/>
      </w:pPr>
      <w:r>
        <w:rPr>
          <w:rStyle w:val="VerbatimChar"/>
        </w:rPr>
        <w:t xml:space="preserve">[GUIDANCE: Show the governance artifact and the human-approval model actually operating: where a human signs off, what the risk or ethics review covered, how privacy and bias were handled. A 9 to 10 answer shows the artifact plus the oversight point in use; a 5 to 6 answer names a policy but does not show it in use; a 1 to 2 answer asserts the model "is fair and safe" with no review and no oversight point (Judge Guide clause 5.4.2). Responsible-AI evidence is required (Rules clause 4.1.5). Delete this guidance block before submitting.]</w:t>
      </w:r>
    </w:p>
    <w:p>
      <w:pPr>
        <w:pStyle w:val="BodyText"/>
      </w:pPr>
      <w:r>
        <w:t xml:space="preserve">Your response (up to 350 words):</w:t>
      </w:r>
      <w:r>
        <w:t xml:space="preserve"> </w:t>
      </w:r>
      <w:r>
        <w:rPr>
          <w:rStyle w:val="VerbatimChar"/>
        </w:rPr>
        <w:t xml:space="preserve">__________________________________________________________________</w:t>
      </w:r>
    </w:p>
    <w:p>
      <w:pPr>
        <w:pStyle w:val="BodyText"/>
      </w:pPr>
      <w:r>
        <w:rPr>
          <w:bCs/>
          <w:b/>
        </w:rPr>
        <w:t xml:space="preserve">Evidence-pack items that support this answer:</w:t>
      </w:r>
      <w:r>
        <w:t xml:space="preserve"> </w:t>
      </w:r>
      <w:r>
        <w:rPr>
          <w:rStyle w:val="VerbatimChar"/>
        </w:rPr>
        <w:t xml:space="preserve">______________________________</w:t>
      </w:r>
    </w:p>
    <w:bookmarkEnd w:id="27"/>
    <w:bookmarkStart w:id="28" w:name="adoption-and-change-management"/>
    <w:p>
      <w:pPr>
        <w:pStyle w:val="Heading3"/>
      </w:pPr>
      <w:r>
        <w:t xml:space="preserve">5.3 Adoption and change management</w:t>
      </w:r>
    </w:p>
    <w:p>
      <w:pPr>
        <w:pStyle w:val="FirstParagraph"/>
      </w:pPr>
      <w:r>
        <w:rPr>
          <w:bCs/>
          <w:b/>
        </w:rPr>
        <w:t xml:space="preserve">Point value: 15% of the total score (Rubric Criterion 3, Rules Section 8).</w:t>
      </w:r>
    </w:p>
    <w:p>
      <w:pPr>
        <w:pStyle w:val="BodyText"/>
      </w:pPr>
      <w:r>
        <w:rPr>
          <w:bCs/>
          <w:b/>
        </w:rPr>
        <w:t xml:space="preserve">What this criterion assesses (Judge Guide Section 5):</w:t>
      </w:r>
      <w:r>
        <w:t xml:space="preserve"> </w:t>
      </w:r>
      <w:r>
        <w:t xml:space="preserve">“</w:t>
      </w:r>
      <w:r>
        <w:t xml:space="preserve">Real operational embedding, user uptake, stakeholder trust, training, and sustained use beyond launch.</w:t>
      </w:r>
      <w:r>
        <w:t xml:space="preserve">”</w:t>
      </w:r>
    </w:p>
    <w:p>
      <w:pPr>
        <w:pStyle w:val="BodyText"/>
      </w:pPr>
      <w:r>
        <w:rPr>
          <w:bCs/>
          <w:b/>
        </w:rPr>
        <w:t xml:space="preserve">Typical evidence to reference:</w:t>
      </w:r>
      <w:r>
        <w:t xml:space="preserve"> </w:t>
      </w:r>
      <w:r>
        <w:t xml:space="preserve">“</w:t>
      </w:r>
      <w:r>
        <w:t xml:space="preserve">Adoption metrics, training materials, change plan, stakeholder feedback, usage data.</w:t>
      </w:r>
      <w:r>
        <w:t xml:space="preserve">”</w:t>
      </w:r>
    </w:p>
    <w:p>
      <w:pPr>
        <w:pStyle w:val="BodyText"/>
      </w:pPr>
      <w:r>
        <w:rPr>
          <w:bCs/>
          <w:b/>
        </w:rPr>
        <w:t xml:space="preserve">Plain guidance.</w:t>
      </w:r>
      <w:r>
        <w:t xml:space="preserve"> </w:t>
      </w:r>
      <w:r>
        <w:t xml:space="preserve">Adoption evidence is required to enter, and deployment alone is not adoption (Rules clause 4.1.6). Showing that something went live is not enough; show it was taken up and used. A strong answer shows sustained use beyond launch: usage data over time, a change plan that was executed, and stakeholder feedback. Uptake shown only at launch reads as adequate at best; deployment with no evidence anyone used it scores in the lowest band.</w:t>
      </w:r>
    </w:p>
    <w:p>
      <w:pPr>
        <w:pStyle w:val="BodyText"/>
      </w:pPr>
      <w:r>
        <w:rPr>
          <w:bCs/>
          <w:b/>
        </w:rPr>
        <w:t xml:space="preserve">Recommended length budget (working-team value, pending confirmation): up to 300 words.</w:t>
      </w:r>
    </w:p>
    <w:p>
      <w:pPr>
        <w:pStyle w:val="BodyText"/>
      </w:pPr>
      <w:r>
        <w:rPr>
          <w:rStyle w:val="VerbatimChar"/>
        </w:rPr>
        <w:t xml:space="preserve">[GUIDANCE: Show that the solution was taken up and used, not only that it went live. Deployment alone is not adoption (Rules clause 4.1.6). A 9 to 10 answer shows sustained use beyond launch (usage data over time, a change plan that was executed, stakeholder feedback); a 1 to 2 answer shows deployment with no evidence anyone used it (Judge Guide clause 5.4.3). If uptake dipped and recovered, say so; a judge trusts an honest curve more than a flat claim. Adoption evidence, not only deployment evidence, is required. Delete this guidance block before submitting.]</w:t>
      </w:r>
    </w:p>
    <w:p>
      <w:pPr>
        <w:pStyle w:val="BodyText"/>
      </w:pPr>
      <w:r>
        <w:t xml:space="preserve">Your response (up to 300 words):</w:t>
      </w:r>
      <w:r>
        <w:t xml:space="preserve"> </w:t>
      </w:r>
      <w:r>
        <w:rPr>
          <w:rStyle w:val="VerbatimChar"/>
        </w:rPr>
        <w:t xml:space="preserve">__________________________________________________________________</w:t>
      </w:r>
    </w:p>
    <w:p>
      <w:pPr>
        <w:pStyle w:val="BodyText"/>
      </w:pPr>
      <w:r>
        <w:rPr>
          <w:bCs/>
          <w:b/>
        </w:rPr>
        <w:t xml:space="preserve">Evidence-pack items that support this answer:</w:t>
      </w:r>
      <w:r>
        <w:t xml:space="preserve"> </w:t>
      </w:r>
      <w:r>
        <w:rPr>
          <w:rStyle w:val="VerbatimChar"/>
        </w:rPr>
        <w:t xml:space="preserve">______________________________</w:t>
      </w:r>
    </w:p>
    <w:bookmarkEnd w:id="28"/>
    <w:bookmarkStart w:id="29" w:name="ai-solution-fit-and-innovation"/>
    <w:p>
      <w:pPr>
        <w:pStyle w:val="Heading3"/>
      </w:pPr>
      <w:r>
        <w:t xml:space="preserve">5.4 AI solution fit and innovation</w:t>
      </w:r>
    </w:p>
    <w:p>
      <w:pPr>
        <w:pStyle w:val="FirstParagraph"/>
      </w:pPr>
      <w:r>
        <w:rPr>
          <w:bCs/>
          <w:b/>
        </w:rPr>
        <w:t xml:space="preserve">Point value: 15% of the total score (Rubric Criterion 4, Rules Section 8).</w:t>
      </w:r>
    </w:p>
    <w:p>
      <w:pPr>
        <w:pStyle w:val="BodyText"/>
      </w:pPr>
      <w:r>
        <w:rPr>
          <w:bCs/>
          <w:b/>
        </w:rPr>
        <w:t xml:space="preserve">What this criterion assesses (Judge Guide Section 5):</w:t>
      </w:r>
      <w:r>
        <w:t xml:space="preserve"> </w:t>
      </w:r>
      <w:r>
        <w:t xml:space="preserve">“</w:t>
      </w:r>
      <w:r>
        <w:t xml:space="preserve">Appropriate and effective use of AI for the problem, originality where relevant, and fit-for-purpose design.</w:t>
      </w:r>
      <w:r>
        <w:t xml:space="preserve">”</w:t>
      </w:r>
    </w:p>
    <w:p>
      <w:pPr>
        <w:pStyle w:val="BodyText"/>
      </w:pPr>
      <w:r>
        <w:rPr>
          <w:bCs/>
          <w:b/>
        </w:rPr>
        <w:t xml:space="preserve">Typical evidence to reference:</w:t>
      </w:r>
      <w:r>
        <w:t xml:space="preserve"> </w:t>
      </w:r>
      <w:r>
        <w:t xml:space="preserve">“</w:t>
      </w:r>
      <w:r>
        <w:t xml:space="preserve">Architecture summary, model or tool rationale, performance evidence, solution demo.</w:t>
      </w:r>
      <w:r>
        <w:t xml:space="preserve">”</w:t>
      </w:r>
    </w:p>
    <w:p>
      <w:pPr>
        <w:pStyle w:val="BodyText"/>
      </w:pPr>
      <w:r>
        <w:rPr>
          <w:bCs/>
          <w:b/>
        </w:rPr>
        <w:t xml:space="preserve">Plain guidance.</w:t>
      </w:r>
      <w:r>
        <w:t xml:space="preserve"> </w:t>
      </w:r>
      <w:r>
        <w:t xml:space="preserve">A strong answer justifies why this AI approach fits this problem, with performance evidence. Describing the solution without saying why it was the right tool reads as adequate at best; invoking a fashionable technique with no rationale and no fit to the problem scores in the lowest band. Novelty alone does not carry an entry: the rubric rewards fit and value over novelty for its own sake.</w:t>
      </w:r>
    </w:p>
    <w:p>
      <w:pPr>
        <w:pStyle w:val="BodyText"/>
      </w:pPr>
      <w:r>
        <w:rPr>
          <w:bCs/>
          <w:b/>
        </w:rPr>
        <w:t xml:space="preserve">Recommended length budget (working-team value, pending confirmation): up to 250 words.</w:t>
      </w:r>
    </w:p>
    <w:p>
      <w:pPr>
        <w:pStyle w:val="BodyText"/>
      </w:pPr>
      <w:r>
        <w:rPr>
          <w:rStyle w:val="VerbatimChar"/>
        </w:rPr>
        <w:t xml:space="preserve">[GUIDANCE: Justify why this AI approach fits this problem, with performance evidence. A 9 to 10 answer explains the fit and shows performance evidence; a 1 to 2 answer invokes a fashionable technique with no rationale and no fit (Judge Guide clause 5.4.4). Do not lead with the model name; lead with the problem it fit. If you reference a solution demo, it must open without a login (Rules clause 6.5). Delete this guidance block before submitting.]</w:t>
      </w:r>
    </w:p>
    <w:p>
      <w:pPr>
        <w:pStyle w:val="BodyText"/>
      </w:pPr>
      <w:r>
        <w:t xml:space="preserve">Your response (up to 250 words):</w:t>
      </w:r>
      <w:r>
        <w:t xml:space="preserve"> </w:t>
      </w:r>
      <w:r>
        <w:rPr>
          <w:rStyle w:val="VerbatimChar"/>
        </w:rPr>
        <w:t xml:space="preserve">__________________________________________________________________</w:t>
      </w:r>
    </w:p>
    <w:p>
      <w:pPr>
        <w:pStyle w:val="BodyText"/>
      </w:pPr>
      <w:r>
        <w:rPr>
          <w:bCs/>
          <w:b/>
        </w:rPr>
        <w:t xml:space="preserve">Evidence-pack items that support this answer:</w:t>
      </w:r>
      <w:r>
        <w:t xml:space="preserve"> </w:t>
      </w:r>
      <w:r>
        <w:rPr>
          <w:rStyle w:val="VerbatimChar"/>
        </w:rPr>
        <w:t xml:space="preserve">______________________________</w:t>
      </w:r>
    </w:p>
    <w:bookmarkEnd w:id="29"/>
    <w:bookmarkStart w:id="30" w:name="project-management-and-delivery-rigor"/>
    <w:p>
      <w:pPr>
        <w:pStyle w:val="Heading3"/>
      </w:pPr>
      <w:r>
        <w:t xml:space="preserve">5.5 Project management and delivery rigor</w:t>
      </w:r>
    </w:p>
    <w:p>
      <w:pPr>
        <w:pStyle w:val="FirstParagraph"/>
      </w:pPr>
      <w:r>
        <w:rPr>
          <w:bCs/>
          <w:b/>
        </w:rPr>
        <w:t xml:space="preserve">Point value: 15% of the total score (Rubric Criterion 5, Rules Section 8).</w:t>
      </w:r>
    </w:p>
    <w:p>
      <w:pPr>
        <w:pStyle w:val="BodyText"/>
      </w:pPr>
      <w:r>
        <w:rPr>
          <w:bCs/>
          <w:b/>
        </w:rPr>
        <w:t xml:space="preserve">What this criterion assesses (Judge Guide Section 5):</w:t>
      </w:r>
      <w:r>
        <w:t xml:space="preserve"> </w:t>
      </w:r>
      <w:r>
        <w:t xml:space="preserve">“</w:t>
      </w:r>
      <w:r>
        <w:t xml:space="preserve">Problem definition, governance, planning, delivery discipline, risk and issue management, and lessons learned.</w:t>
      </w:r>
      <w:r>
        <w:t xml:space="preserve">”</w:t>
      </w:r>
    </w:p>
    <w:p>
      <w:pPr>
        <w:pStyle w:val="BodyText"/>
      </w:pPr>
      <w:r>
        <w:rPr>
          <w:bCs/>
          <w:b/>
        </w:rPr>
        <w:t xml:space="preserve">Typical evidence to reference:</w:t>
      </w:r>
      <w:r>
        <w:t xml:space="preserve"> </w:t>
      </w:r>
      <w:r>
        <w:t xml:space="preserve">“</w:t>
      </w:r>
      <w:r>
        <w:t xml:space="preserve">Charter, plan, schedule, risk log, governance cadence, delivery artifacts.</w:t>
      </w:r>
      <w:r>
        <w:t xml:space="preserve">”</w:t>
      </w:r>
    </w:p>
    <w:p>
      <w:pPr>
        <w:pStyle w:val="BodyText"/>
      </w:pPr>
      <w:r>
        <w:rPr>
          <w:bCs/>
          <w:b/>
        </w:rPr>
        <w:t xml:space="preserve">Plain guidance.</w:t>
      </w:r>
      <w:r>
        <w:t xml:space="preserve"> </w:t>
      </w:r>
      <w:r>
        <w:t xml:space="preserve">A strong answer shows the delivery spine (charter, plan, risk log, governance cadence) and lessons learned. Some artifacts with thin risk or governance discipline read as adequate at best; a narrative of delivery with no supporting artifact scores in the lowest band. This is standard project-management rigor, applied to an AI delivery.</w:t>
      </w:r>
    </w:p>
    <w:p>
      <w:pPr>
        <w:pStyle w:val="BodyText"/>
      </w:pPr>
      <w:r>
        <w:rPr>
          <w:bCs/>
          <w:b/>
        </w:rPr>
        <w:t xml:space="preserve">Recommended length budget (working-team value, pending confirmation): up to 250 words.</w:t>
      </w:r>
    </w:p>
    <w:p>
      <w:pPr>
        <w:pStyle w:val="BodyText"/>
      </w:pPr>
      <w:r>
        <w:rPr>
          <w:rStyle w:val="VerbatimChar"/>
        </w:rPr>
        <w:t xml:space="preserve">[GUIDANCE: Show the delivery spine: charter, plan, risk log, governance cadence, and lessons learned. A 9 to 10 answer shows the spine plus lessons learned; a 1 to 2 answer offers a narrative of delivery with no supporting artifact (Judge Guide clause 5.4.5). Name the governance cadence (who met, how often, to decide what). Delete this guidance block before submitting.]</w:t>
      </w:r>
    </w:p>
    <w:p>
      <w:pPr>
        <w:pStyle w:val="BodyText"/>
      </w:pPr>
      <w:r>
        <w:t xml:space="preserve">Your response (up to 250 words):</w:t>
      </w:r>
      <w:r>
        <w:t xml:space="preserve"> </w:t>
      </w:r>
      <w:r>
        <w:rPr>
          <w:rStyle w:val="VerbatimChar"/>
        </w:rPr>
        <w:t xml:space="preserve">__________________________________________________________________</w:t>
      </w:r>
    </w:p>
    <w:p>
      <w:pPr>
        <w:pStyle w:val="BodyText"/>
      </w:pPr>
      <w:r>
        <w:rPr>
          <w:bCs/>
          <w:b/>
        </w:rPr>
        <w:t xml:space="preserve">Evidence-pack items that support this answer:</w:t>
      </w:r>
      <w:r>
        <w:t xml:space="preserve"> </w:t>
      </w:r>
      <w:r>
        <w:rPr>
          <w:rStyle w:val="VerbatimChar"/>
        </w:rPr>
        <w:t xml:space="preserve">______________________________</w:t>
      </w:r>
    </w:p>
    <w:bookmarkEnd w:id="30"/>
    <w:bookmarkStart w:id="31" w:name="Xe605b326e1a76f9545e5ea7ab88802916b57df5"/>
    <w:p>
      <w:pPr>
        <w:pStyle w:val="Heading3"/>
      </w:pPr>
      <w:r>
        <w:t xml:space="preserve">5.6 Learning and contribution to the community</w:t>
      </w:r>
    </w:p>
    <w:p>
      <w:pPr>
        <w:pStyle w:val="FirstParagraph"/>
      </w:pPr>
      <w:r>
        <w:rPr>
          <w:bCs/>
          <w:b/>
        </w:rPr>
        <w:t xml:space="preserve">Point value: 10% of the total score (Rubric Criterion 6, Rules Section 8). This is where the community-first purpose of the award is scored.</w:t>
      </w:r>
    </w:p>
    <w:p>
      <w:pPr>
        <w:pStyle w:val="BodyText"/>
      </w:pPr>
      <w:r>
        <w:rPr>
          <w:bCs/>
          <w:b/>
        </w:rPr>
        <w:t xml:space="preserve">What this criterion assesses (Judge Guide Section 5):</w:t>
      </w:r>
      <w:r>
        <w:t xml:space="preserve"> </w:t>
      </w:r>
      <w:r>
        <w:t xml:space="preserve">“</w:t>
      </w:r>
      <w:r>
        <w:t xml:space="preserve">Transferable lessons and the quality of the story the case can contribute to AIPM knowledge sharing.</w:t>
      </w:r>
      <w:r>
        <w:t xml:space="preserve">”</w:t>
      </w:r>
    </w:p>
    <w:p>
      <w:pPr>
        <w:pStyle w:val="BodyText"/>
      </w:pPr>
      <w:r>
        <w:rPr>
          <w:bCs/>
          <w:b/>
        </w:rPr>
        <w:t xml:space="preserve">Typical evidence to reference:</w:t>
      </w:r>
      <w:r>
        <w:t xml:space="preserve"> </w:t>
      </w:r>
      <w:r>
        <w:t xml:space="preserve">“</w:t>
      </w:r>
      <w:r>
        <w:t xml:space="preserve">Lessons learned, case-study draft, reusable practices, reflection on what others can adopt.</w:t>
      </w:r>
      <w:r>
        <w:t xml:space="preserve">”</w:t>
      </w:r>
    </w:p>
    <w:p>
      <w:pPr>
        <w:pStyle w:val="BodyText"/>
      </w:pPr>
      <w:r>
        <w:rPr>
          <w:bCs/>
          <w:b/>
        </w:rPr>
        <w:t xml:space="preserve">Plain guidance.</w:t>
      </w:r>
      <w:r>
        <w:t xml:space="preserve"> </w:t>
      </w:r>
      <w:r>
        <w:t xml:space="preserve">A strong answer offers transferable, reusable lessons and a case-study-ready story others can adopt. A reflection that keeps the lessons local and non-transferable reads as adequate at best;</w:t>
      </w:r>
      <w:r>
        <w:t xml:space="preserve"> </w:t>
      </w:r>
      <w:r>
        <w:t xml:space="preserve">“</w:t>
      </w:r>
      <w:r>
        <w:t xml:space="preserve">it went well</w:t>
      </w:r>
      <w:r>
        <w:t xml:space="preserve">”</w:t>
      </w:r>
      <w:r>
        <w:t xml:space="preserve"> </w:t>
      </w:r>
      <w:r>
        <w:t xml:space="preserve">with no reflection scores in the lowest band.</w:t>
      </w:r>
    </w:p>
    <w:p>
      <w:pPr>
        <w:pStyle w:val="BodyText"/>
      </w:pPr>
      <w:r>
        <w:rPr>
          <w:bCs/>
          <w:b/>
        </w:rPr>
        <w:t xml:space="preserve">Recommended length budget (working-team value, pending confirmation): up to 200 words.</w:t>
      </w:r>
    </w:p>
    <w:p>
      <w:pPr>
        <w:pStyle w:val="BodyText"/>
      </w:pPr>
      <w:r>
        <w:rPr>
          <w:rStyle w:val="VerbatimChar"/>
        </w:rPr>
        <w:t xml:space="preserve">[GUIDANCE: Offer transferable, reusable lessons and a case-study-ready story others can adopt. A 9 to 10 answer offers reusable lessons and a story others can adopt; a 1 to 2 answer offers no reflection beyond "it went well" (Judge Guide clause 5.4.6). This section pairs with your case-study consent in Section 9, which is what lets AIPM publish the story. Delete this guidance block before submitting.]</w:t>
      </w:r>
    </w:p>
    <w:p>
      <w:pPr>
        <w:pStyle w:val="BodyText"/>
      </w:pPr>
      <w:r>
        <w:t xml:space="preserve">Your response (up to 200 words):</w:t>
      </w:r>
      <w:r>
        <w:t xml:space="preserve"> </w:t>
      </w:r>
      <w:r>
        <w:rPr>
          <w:rStyle w:val="VerbatimChar"/>
        </w:rPr>
        <w:t xml:space="preserve">__________________________________________________________________</w:t>
      </w:r>
    </w:p>
    <w:p>
      <w:pPr>
        <w:pStyle w:val="BodyText"/>
      </w:pPr>
      <w:r>
        <w:rPr>
          <w:bCs/>
          <w:b/>
        </w:rPr>
        <w:t xml:space="preserve">Evidence-pack items that support this answer:</w:t>
      </w:r>
      <w:r>
        <w:t xml:space="preserve"> </w:t>
      </w:r>
      <w:r>
        <w:rPr>
          <w:rStyle w:val="VerbatimChar"/>
        </w:rPr>
        <w:t xml:space="preserve">______________________________</w:t>
      </w:r>
    </w:p>
    <w:p>
      <w:pPr>
        <w:pStyle w:val="BlockText"/>
      </w:pPr>
      <w:r>
        <w:rPr>
          <w:bCs/>
          <w:b/>
        </w:rPr>
        <w:t xml:space="preserve">Weighting reminder.</w:t>
      </w:r>
      <w:r>
        <w:t xml:space="preserve"> </w:t>
      </w:r>
      <w:r>
        <w:t xml:space="preserve">Criteria 1, 2, and 3 carry 60% of the total weight combined (25% plus 20% plus 15%), so a technically impressive AI solution cannot win without credible evidence of outcomes, responsible governance, and real adoption (Rules clause 8.2). Spend your length budget accordingly.</w:t>
      </w:r>
    </w:p>
    <w:p>
      <w:r>
        <w:pict>
          <v:rect style="width:0;height:1.5pt" o:hralign="center" o:hrstd="t" o:hr="t"/>
        </w:pict>
      </w:r>
    </w:p>
    <w:bookmarkEnd w:id="31"/>
    <w:bookmarkEnd w:id="32"/>
    <w:bookmarkStart w:id="33" w:name="evidence-pack-checklist"/>
    <w:p>
      <w:pPr>
        <w:pStyle w:val="Heading2"/>
      </w:pPr>
      <w:r>
        <w:t xml:space="preserve">6. Evidence-pack checklist</w:t>
      </w:r>
    </w:p>
    <w:p>
      <w:pPr>
        <w:pStyle w:val="FirstParagraph"/>
      </w:pPr>
      <w:r>
        <w:rPr>
          <w:rStyle w:val="VerbatimChar"/>
        </w:rPr>
        <w:t xml:space="preserve">[GUIDANCE: The evidence pack is the body of supporting artifacts that substantiate your answers in Section 5 (Rules clause 2.8). Attach each artifact and tick it below. The artifacts are separate attachments and are not counted inside the 10-page form budget. Every attachment must be accessible without a login (clause 1.7). How to build a strong, fair, judge-ready pack is explained in the companion evidence-pack guide (</w:t>
      </w:r>
      <w:r>
        <w:t xml:space="preserve">evidence-pack-guide.md</w:t>
      </w:r>
      <w:r>
        <w:rPr>
          <w:rStyle w:val="VerbatimChar"/>
        </w:rPr>
        <w:t xml:space="preserve">). Delete this guidance block before submitting.]</w:t>
      </w:r>
    </w:p>
    <w:p>
      <w:pPr>
        <w:pStyle w:val="BodyText"/>
      </w:pPr>
      <w:r>
        <w:t xml:space="preserve">Tick each artifact you are including. The three artifacts marked</w:t>
      </w:r>
      <w:r>
        <w:t xml:space="preserve"> </w:t>
      </w:r>
      <w:r>
        <w:rPr>
          <w:bCs/>
          <w:b/>
        </w:rPr>
        <w:t xml:space="preserve">REQUIRED</w:t>
      </w:r>
      <w:r>
        <w:t xml:space="preserve"> </w:t>
      </w:r>
      <w:r>
        <w:t xml:space="preserve">are the distinctively-AIPM additions to a standard project-management evidence pack, and an entry that lacks them is not eligible (Rules clauses 4.1.5, 4.1.6, and 4.2.6).</w:t>
      </w:r>
    </w:p>
    <w:tbl>
      <w:tblPr>
        <w:tblStyle w:val="Table"/>
        <w:tblW w:type="pct" w:w="5000"/>
        <w:tblLook w:firstRow="1" w:lastRow="0" w:firstColumn="0" w:lastColumn="0" w:noHBand="0" w:noVBand="0" w:val="0020"/>
        <w:jc w:val="start"/>
      </w:tblPr>
      <w:tblGrid>
        <w:gridCol w:w="594"/>
        <w:gridCol w:w="1980"/>
        <w:gridCol w:w="3366"/>
        <w:gridCol w:w="1980"/>
      </w:tblGrid>
      <w:tr>
        <w:trPr>
          <w:tblHeader w:val="true"/>
        </w:trPr>
        <w:tc>
          <w:tcPr/>
          <w:p>
            <w:pPr>
              <w:pStyle w:val="Compact"/>
              <w:jc w:val="left"/>
            </w:pPr>
            <w:r>
              <w:t xml:space="preserve">#</w:t>
            </w:r>
          </w:p>
        </w:tc>
        <w:tc>
          <w:tcPr/>
          <w:p>
            <w:pPr>
              <w:pStyle w:val="Compact"/>
              <w:jc w:val="left"/>
            </w:pPr>
            <w:r>
              <w:t xml:space="preserve">Artifact</w:t>
            </w:r>
          </w:p>
        </w:tc>
        <w:tc>
          <w:tcPr/>
          <w:p>
            <w:pPr>
              <w:pStyle w:val="Compact"/>
              <w:jc w:val="left"/>
            </w:pPr>
            <w:r>
              <w:t xml:space="preserve">Backs criterion</w:t>
            </w:r>
          </w:p>
        </w:tc>
        <w:tc>
          <w:tcPr/>
          <w:p>
            <w:pPr>
              <w:pStyle w:val="Compact"/>
              <w:jc w:val="left"/>
            </w:pPr>
            <w:r>
              <w:t xml:space="preserve">Included</w:t>
            </w:r>
          </w:p>
        </w:tc>
      </w:tr>
      <w:tr>
        <w:tc>
          <w:tcPr/>
          <w:p>
            <w:pPr>
              <w:pStyle w:val="Compact"/>
              <w:jc w:val="left"/>
            </w:pPr>
            <w:r>
              <w:t xml:space="preserve">1</w:t>
            </w:r>
          </w:p>
        </w:tc>
        <w:tc>
          <w:tcPr/>
          <w:p>
            <w:pPr>
              <w:pStyle w:val="Compact"/>
              <w:jc w:val="left"/>
            </w:pPr>
            <w:r>
              <w:t xml:space="preserve">Business case</w:t>
            </w:r>
          </w:p>
        </w:tc>
        <w:tc>
          <w:tcPr/>
          <w:p>
            <w:pPr>
              <w:pStyle w:val="Compact"/>
              <w:jc w:val="left"/>
            </w:pPr>
            <w:r>
              <w:t xml:space="preserve">1, 5</w:t>
            </w:r>
          </w:p>
        </w:tc>
        <w:tc>
          <w:tcPr/>
          <w:p>
            <w:pPr>
              <w:pStyle w:val="Compact"/>
              <w:jc w:val="left"/>
            </w:pPr>
            <w:r>
              <w:t xml:space="preserve">[ ]</w:t>
            </w:r>
          </w:p>
        </w:tc>
      </w:tr>
      <w:tr>
        <w:tc>
          <w:tcPr/>
          <w:p>
            <w:pPr>
              <w:pStyle w:val="Compact"/>
              <w:jc w:val="left"/>
            </w:pPr>
            <w:r>
              <w:t xml:space="preserve">2</w:t>
            </w:r>
          </w:p>
        </w:tc>
        <w:tc>
          <w:tcPr/>
          <w:p>
            <w:pPr>
              <w:pStyle w:val="Compact"/>
              <w:jc w:val="left"/>
            </w:pPr>
            <w:r>
              <w:t xml:space="preserve">Charter</w:t>
            </w:r>
          </w:p>
        </w:tc>
        <w:tc>
          <w:tcPr/>
          <w:p>
            <w:pPr>
              <w:pStyle w:val="Compact"/>
              <w:jc w:val="left"/>
            </w:pPr>
            <w:r>
              <w:t xml:space="preserve">5</w:t>
            </w:r>
          </w:p>
        </w:tc>
        <w:tc>
          <w:tcPr/>
          <w:p>
            <w:pPr>
              <w:pStyle w:val="Compact"/>
              <w:jc w:val="left"/>
            </w:pPr>
            <w:r>
              <w:t xml:space="preserve">[ ]</w:t>
            </w:r>
          </w:p>
        </w:tc>
      </w:tr>
      <w:tr>
        <w:tc>
          <w:tcPr/>
          <w:p>
            <w:pPr>
              <w:pStyle w:val="Compact"/>
              <w:jc w:val="left"/>
            </w:pPr>
            <w:r>
              <w:t xml:space="preserve">3</w:t>
            </w:r>
          </w:p>
        </w:tc>
        <w:tc>
          <w:tcPr/>
          <w:p>
            <w:pPr>
              <w:pStyle w:val="Compact"/>
              <w:jc w:val="left"/>
            </w:pPr>
            <w:r>
              <w:t xml:space="preserve">Baseline versus actual</w:t>
            </w:r>
          </w:p>
        </w:tc>
        <w:tc>
          <w:tcPr/>
          <w:p>
            <w:pPr>
              <w:pStyle w:val="Compact"/>
              <w:jc w:val="left"/>
            </w:pPr>
            <w:r>
              <w:t xml:space="preserve">1</w:t>
            </w:r>
          </w:p>
        </w:tc>
        <w:tc>
          <w:tcPr/>
          <w:p>
            <w:pPr>
              <w:pStyle w:val="Compact"/>
              <w:jc w:val="left"/>
            </w:pPr>
            <w:r>
              <w:t xml:space="preserve">[ ]</w:t>
            </w:r>
          </w:p>
        </w:tc>
      </w:tr>
      <w:tr>
        <w:tc>
          <w:tcPr/>
          <w:p>
            <w:pPr>
              <w:pStyle w:val="Compact"/>
              <w:jc w:val="left"/>
            </w:pPr>
            <w:r>
              <w:t xml:space="preserve">4</w:t>
            </w:r>
          </w:p>
        </w:tc>
        <w:tc>
          <w:tcPr/>
          <w:p>
            <w:pPr>
              <w:pStyle w:val="Compact"/>
              <w:jc w:val="left"/>
            </w:pPr>
            <w:r>
              <w:t xml:space="preserve">Benefits report</w:t>
            </w:r>
          </w:p>
        </w:tc>
        <w:tc>
          <w:tcPr/>
          <w:p>
            <w:pPr>
              <w:pStyle w:val="Compact"/>
              <w:jc w:val="left"/>
            </w:pPr>
            <w:r>
              <w:t xml:space="preserve">1</w:t>
            </w:r>
          </w:p>
        </w:tc>
        <w:tc>
          <w:tcPr/>
          <w:p>
            <w:pPr>
              <w:pStyle w:val="Compact"/>
              <w:jc w:val="left"/>
            </w:pPr>
            <w:r>
              <w:t xml:space="preserve">[ ]</w:t>
            </w:r>
          </w:p>
        </w:tc>
      </w:tr>
      <w:tr>
        <w:tc>
          <w:tcPr/>
          <w:p>
            <w:pPr>
              <w:pStyle w:val="Compact"/>
              <w:jc w:val="left"/>
            </w:pPr>
            <w:r>
              <w:t xml:space="preserve">5</w:t>
            </w:r>
          </w:p>
        </w:tc>
        <w:tc>
          <w:tcPr/>
          <w:p>
            <w:pPr>
              <w:pStyle w:val="Compact"/>
              <w:jc w:val="left"/>
            </w:pPr>
            <w:r>
              <w:t xml:space="preserve">Risk log</w:t>
            </w:r>
          </w:p>
        </w:tc>
        <w:tc>
          <w:tcPr/>
          <w:p>
            <w:pPr>
              <w:pStyle w:val="Compact"/>
              <w:jc w:val="left"/>
            </w:pPr>
            <w:r>
              <w:t xml:space="preserve">5</w:t>
            </w:r>
          </w:p>
        </w:tc>
        <w:tc>
          <w:tcPr/>
          <w:p>
            <w:pPr>
              <w:pStyle w:val="Compact"/>
              <w:jc w:val="left"/>
            </w:pPr>
            <w:r>
              <w:t xml:space="preserve">[ ]</w:t>
            </w:r>
          </w:p>
        </w:tc>
      </w:tr>
      <w:tr>
        <w:tc>
          <w:tcPr/>
          <w:p>
            <w:pPr>
              <w:pStyle w:val="Compact"/>
              <w:jc w:val="left"/>
            </w:pPr>
            <w:r>
              <w:t xml:space="preserve">6</w:t>
            </w:r>
          </w:p>
        </w:tc>
        <w:tc>
          <w:tcPr/>
          <w:p>
            <w:pPr>
              <w:pStyle w:val="Compact"/>
              <w:jc w:val="left"/>
            </w:pPr>
            <w:r>
              <w:rPr>
                <w:bCs/>
                <w:b/>
              </w:rPr>
              <w:t xml:space="preserve">AI governance or ethics review (REQUIRED, responsible-AI evidence, Rules clause 4.1.5)</w:t>
            </w:r>
          </w:p>
        </w:tc>
        <w:tc>
          <w:tcPr/>
          <w:p>
            <w:pPr>
              <w:pStyle w:val="Compact"/>
              <w:jc w:val="left"/>
            </w:pPr>
            <w:r>
              <w:t xml:space="preserve">2</w:t>
            </w:r>
          </w:p>
        </w:tc>
        <w:tc>
          <w:tcPr/>
          <w:p>
            <w:pPr>
              <w:pStyle w:val="Compact"/>
              <w:jc w:val="left"/>
            </w:pPr>
            <w:r>
              <w:t xml:space="preserve">[ ]</w:t>
            </w:r>
          </w:p>
        </w:tc>
      </w:tr>
      <w:tr>
        <w:tc>
          <w:tcPr/>
          <w:p>
            <w:pPr>
              <w:pStyle w:val="Compact"/>
              <w:jc w:val="left"/>
            </w:pPr>
            <w:r>
              <w:t xml:space="preserve">7</w:t>
            </w:r>
          </w:p>
        </w:tc>
        <w:tc>
          <w:tcPr/>
          <w:p>
            <w:pPr>
              <w:pStyle w:val="Compact"/>
              <w:jc w:val="left"/>
            </w:pPr>
            <w:r>
              <w:rPr>
                <w:bCs/>
                <w:b/>
              </w:rPr>
              <w:t xml:space="preserve">Adoption data (REQUIRED, adoption not only deployment, Rules clause 4.1.6)</w:t>
            </w:r>
          </w:p>
        </w:tc>
        <w:tc>
          <w:tcPr/>
          <w:p>
            <w:pPr>
              <w:pStyle w:val="Compact"/>
              <w:jc w:val="left"/>
            </w:pPr>
            <w:r>
              <w:t xml:space="preserve">3</w:t>
            </w:r>
          </w:p>
        </w:tc>
        <w:tc>
          <w:tcPr/>
          <w:p>
            <w:pPr>
              <w:pStyle w:val="Compact"/>
              <w:jc w:val="left"/>
            </w:pPr>
            <w:r>
              <w:t xml:space="preserve">[ ]</w:t>
            </w:r>
          </w:p>
        </w:tc>
      </w:tr>
      <w:tr>
        <w:tc>
          <w:tcPr/>
          <w:p>
            <w:pPr>
              <w:pStyle w:val="Compact"/>
              <w:jc w:val="left"/>
            </w:pPr>
            <w:r>
              <w:t xml:space="preserve">8</w:t>
            </w:r>
          </w:p>
        </w:tc>
        <w:tc>
          <w:tcPr/>
          <w:p>
            <w:pPr>
              <w:pStyle w:val="Compact"/>
              <w:jc w:val="left"/>
            </w:pPr>
            <w:r>
              <w:rPr>
                <w:bCs/>
                <w:b/>
              </w:rPr>
              <w:t xml:space="preserve">Human-oversight evidence (REQUIRED, responsible-AI evidence, Rules clause 4.1.5)</w:t>
            </w:r>
          </w:p>
        </w:tc>
        <w:tc>
          <w:tcPr/>
          <w:p>
            <w:pPr>
              <w:pStyle w:val="Compact"/>
              <w:jc w:val="left"/>
            </w:pPr>
            <w:r>
              <w:t xml:space="preserve">2</w:t>
            </w:r>
          </w:p>
        </w:tc>
        <w:tc>
          <w:tcPr/>
          <w:p>
            <w:pPr>
              <w:pStyle w:val="Compact"/>
              <w:jc w:val="left"/>
            </w:pPr>
            <w:r>
              <w:t xml:space="preserve">[ ]</w:t>
            </w:r>
          </w:p>
        </w:tc>
      </w:tr>
      <w:tr>
        <w:tc>
          <w:tcPr/>
          <w:p>
            <w:pPr>
              <w:pStyle w:val="Compact"/>
              <w:jc w:val="left"/>
            </w:pPr>
            <w:r>
              <w:t xml:space="preserve">9</w:t>
            </w:r>
          </w:p>
        </w:tc>
        <w:tc>
          <w:tcPr/>
          <w:p>
            <w:pPr>
              <w:pStyle w:val="Compact"/>
              <w:jc w:val="left"/>
            </w:pPr>
            <w:r>
              <w:t xml:space="preserve">Lessons learned</w:t>
            </w:r>
          </w:p>
        </w:tc>
        <w:tc>
          <w:tcPr/>
          <w:p>
            <w:pPr>
              <w:pStyle w:val="Compact"/>
              <w:jc w:val="left"/>
            </w:pPr>
            <w:r>
              <w:t xml:space="preserve">5, 6</w:t>
            </w:r>
          </w:p>
        </w:tc>
        <w:tc>
          <w:tcPr/>
          <w:p>
            <w:pPr>
              <w:pStyle w:val="Compact"/>
              <w:jc w:val="left"/>
            </w:pPr>
            <w:r>
              <w:t xml:space="preserve">[ ]</w:t>
            </w:r>
          </w:p>
        </w:tc>
      </w:tr>
    </w:tbl>
    <w:p>
      <w:pPr>
        <w:pStyle w:val="BodyText"/>
      </w:pPr>
      <w:r>
        <w:rPr>
          <w:rStyle w:val="VerbatimChar"/>
        </w:rPr>
        <w:t xml:space="preserve">[GUIDANCE: If any confidential detail must be withheld from an artifact, redact it and note the redaction; you may withhold specified confidential details under the case-study consent (Section 9 and Rules clause 12.1). Do not withhold the responsible-AI evidence, the adoption data, or the human-oversight evidence in full: those three are required for eligibility. Curate the pack: attach what substantiates your claims, not everything you have. A tight, judge-readable pack scores better than a data dump, because judges score what they can verify (Rules clauses 8.5 and 9.4). Delete this guidance block before submitting.]</w:t>
      </w:r>
    </w:p>
    <w:p>
      <w:r>
        <w:pict>
          <v:rect style="width:0;height:1.5pt" o:hralign="center" o:hrstd="t" o:hr="t"/>
        </w:pict>
      </w:r>
    </w:p>
    <w:bookmarkEnd w:id="33"/>
    <w:bookmarkStart w:id="34" w:name="short-video-specification"/>
    <w:p>
      <w:pPr>
        <w:pStyle w:val="Heading2"/>
      </w:pPr>
      <w:r>
        <w:t xml:space="preserve">7. Short-video specification</w:t>
      </w:r>
    </w:p>
    <w:p>
      <w:pPr>
        <w:pStyle w:val="FirstParagraph"/>
      </w:pPr>
      <w:r>
        <w:rPr>
          <w:rStyle w:val="VerbatimChar"/>
        </w:rPr>
        <w:t xml:space="preserve">[GUIDANCE: The short video lets judges see the real application. It is part of a complete entry (Rules clauses 5.5 and 6.1). It is not the finalist pitch: finalists later deliver a separate, longer live online presentation with questions and answers as a Tier-2 step (Rules clause 7.4.2); that pitch is not a field on this form. Delete this guidance block before submitting.]</w:t>
      </w:r>
    </w:p>
    <w:p>
      <w:pPr>
        <w:pStyle w:val="BodyText"/>
      </w:pPr>
      <w:r>
        <w:rPr>
          <w:bCs/>
          <w:b/>
        </w:rPr>
        <w:t xml:space="preserve">7.1 Purpose.</w:t>
      </w:r>
      <w:r>
        <w:t xml:space="preserve"> </w:t>
      </w:r>
      <w:r>
        <w:t xml:space="preserve">A short video that shows the AI-enabled project in real use and lets a juror see the application behind the written answers. It supports your questionnaire; it does not replace it.</w:t>
      </w:r>
    </w:p>
    <w:p>
      <w:pPr>
        <w:pStyle w:val="BodyText"/>
      </w:pPr>
      <w:r>
        <w:rPr>
          <w:bCs/>
          <w:b/>
        </w:rPr>
        <w:t xml:space="preserve">7.2 Recommended maximum length (working team proposal; see Rules clause 6.6.5).</w:t>
      </w:r>
      <w:r>
        <w:t xml:space="preserve"> </w:t>
      </w:r>
      <w:r>
        <w:t xml:space="preserve">Rules clause 6.6.5 fixes the principle that a maximum video length applies and delegates the exact number to this form.</w:t>
      </w:r>
    </w:p>
    <w:p>
      <w:pPr>
        <w:pStyle w:val="BlockText"/>
      </w:pPr>
      <w:r>
        <w:rPr>
          <w:bCs/>
          <w:b/>
        </w:rPr>
        <w:t xml:space="preserve">RECOMMENDED OPERATIONAL VALUE (working team proposal, pending forum and subgroup confirmation).</w:t>
      </w:r>
      <w:r>
        <w:t xml:space="preserve"> </w:t>
      </w:r>
      <w:r>
        <w:t xml:space="preserve">The short video should be at most</w:t>
      </w:r>
      <w:r>
        <w:t xml:space="preserve"> </w:t>
      </w:r>
      <w:r>
        <w:rPr>
          <w:bCs/>
          <w:b/>
        </w:rPr>
        <w:t xml:space="preserve">3 minutes</w:t>
      </w:r>
      <w:r>
        <w:t xml:space="preserve"> </w:t>
      </w:r>
      <w:r>
        <w:t xml:space="preserve">long. Shorter is fine.</w:t>
      </w:r>
      <w:r>
        <w:t xml:space="preserve"> </w:t>
      </w:r>
      <w:r>
        <w:t xml:space="preserve">Rationale: a short, lightweight submission video, consistent with the video-first submission norm across PMI, APM, PMOGA, and Clube da Programacao, and deliberately shorter than the longer Tier-2 finalist pitch (Rules clause 7.4.2), so the judging load stays light. The rationale is the video-first norm, not a sourced 3-minute figure.</w:t>
      </w:r>
      <w:r>
        <w:t xml:space="preserve"> </w:t>
      </w:r>
      <w:r>
        <w:t xml:space="preserve">This is the working team’s recommendation, not a settled figure; the forum and the 2026-07-15 subgroup confirm the number.</w:t>
      </w:r>
    </w:p>
    <w:p>
      <w:pPr>
        <w:pStyle w:val="FirstParagraph"/>
      </w:pPr>
      <w:r>
        <w:rPr>
          <w:bCs/>
          <w:b/>
        </w:rPr>
        <w:t xml:space="preserve">7.3 Accessible without login (Rules clauses 6.5 and 4.2.5).</w:t>
      </w:r>
      <w:r>
        <w:t xml:space="preserve"> </w:t>
      </w:r>
      <w:r>
        <w:t xml:space="preserve">The video must be reachable through a link that opens without any login. A login-gated video, or a dead link, may cause the entry to be disqualified.</w:t>
      </w:r>
    </w:p>
    <w:p>
      <w:pPr>
        <w:pStyle w:val="BodyText"/>
      </w:pPr>
      <w:r>
        <w:rPr>
          <w:bCs/>
          <w:b/>
        </w:rPr>
        <w:t xml:space="preserve">7.4 No login-gated or dead links.</w:t>
      </w:r>
      <w:r>
        <w:t xml:space="preserve"> </w:t>
      </w:r>
      <w:r>
        <w:t xml:space="preserve">Test the link from a signed-out browser before you submit. Confirm it plays without a login and that it is not set to expire during the judging period.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Your response</w:t>
            </w:r>
          </w:p>
        </w:tc>
      </w:tr>
      <w:tr>
        <w:tc>
          <w:tcPr/>
          <w:p>
            <w:pPr>
              <w:pStyle w:val="Compact"/>
              <w:jc w:val="left"/>
            </w:pPr>
            <w:r>
              <w:t xml:space="preserve">Video link (opens without login)</w:t>
            </w:r>
          </w:p>
        </w:tc>
        <w:tc>
          <w:tcPr/>
          <w:p>
            <w:pPr>
              <w:pStyle w:val="Compact"/>
            </w:pPr>
          </w:p>
        </w:tc>
      </w:tr>
      <w:tr>
        <w:tc>
          <w:tcPr/>
          <w:p>
            <w:pPr>
              <w:pStyle w:val="Compact"/>
              <w:jc w:val="left"/>
            </w:pPr>
            <w:r>
              <w:t xml:space="preserve">Video length (at most 3 minutes recommended)</w:t>
            </w:r>
          </w:p>
        </w:tc>
        <w:tc>
          <w:tcPr/>
          <w:p>
            <w:pPr>
              <w:pStyle w:val="Compact"/>
            </w:pPr>
          </w:p>
        </w:tc>
      </w:tr>
      <w:tr>
        <w:tc>
          <w:tcPr/>
          <w:p>
            <w:pPr>
              <w:pStyle w:val="Compact"/>
              <w:jc w:val="left"/>
            </w:pPr>
            <w:r>
              <w:t xml:space="preserve">Confirmed accessible from a signed-out browser</w:t>
            </w:r>
          </w:p>
        </w:tc>
        <w:tc>
          <w:tcPr/>
          <w:p>
            <w:pPr>
              <w:pStyle w:val="Compact"/>
              <w:jc w:val="left"/>
            </w:pPr>
            <w:r>
              <w:t xml:space="preserve">[yes / no]</w:t>
            </w:r>
          </w:p>
        </w:tc>
      </w:tr>
    </w:tbl>
    <w:p>
      <w:r>
        <w:pict>
          <v:rect style="width:0;height:1.5pt" o:hralign="center" o:hrstd="t" o:hr="t"/>
        </w:pict>
      </w:r>
    </w:p>
    <w:bookmarkEnd w:id="34"/>
    <w:bookmarkStart w:id="35" w:name="authorization-and-truthfulness"/>
    <w:p>
      <w:pPr>
        <w:pStyle w:val="Heading2"/>
      </w:pPr>
      <w:r>
        <w:t xml:space="preserve">8. Authorization and truthfulness</w:t>
      </w:r>
    </w:p>
    <w:p>
      <w:pPr>
        <w:pStyle w:val="FirstParagraph"/>
      </w:pPr>
      <w:r>
        <w:rPr>
          <w:rStyle w:val="VerbatimChar"/>
        </w:rPr>
        <w:t xml:space="preserve">[GUIDANCE: These declarations make the entry genuine and verifiable. Complete every field. Delete this guidance block before submitting.]</w:t>
      </w:r>
    </w:p>
    <w:p>
      <w:pPr>
        <w:pStyle w:val="BodyText"/>
      </w:pPr>
      <w:r>
        <w:rPr>
          <w:bCs/>
          <w:b/>
        </w:rPr>
        <w:t xml:space="preserve">8.1 Signed authorization (Rules clause 6.2).</w:t>
      </w:r>
      <w:r>
        <w:t xml:space="preserve"> </w:t>
      </w:r>
      <w:r>
        <w:t xml:space="preserve">The Lead Nominator must be authorized to submit the project and to consent to case-study publication. Where the project belongs to an organization, a person with authority provides a signed authorization. This authorization is lighter than a director-signature-plus-stamp requirement (no company stamp, no notarization), but it must be genuine and verifiable: a real, named person with real authority, whom AIPM can contact to confirm.</w:t>
      </w:r>
    </w:p>
    <w:tbl>
      <w:tblPr>
        <w:tblStyle w:val="Table"/>
        <w:tblW w:type="pct" w:w="5000"/>
        <w:tblLook w:firstRow="1" w:lastRow="0" w:firstColumn="0" w:lastColumn="0" w:noHBand="0" w:noVBand="0" w:val="0020"/>
        <w:jc w:val="start"/>
      </w:tblPr>
      <w:tblGrid>
        <w:gridCol w:w="2520"/>
        <w:gridCol w:w="5400"/>
      </w:tblGrid>
      <w:tr>
        <w:trPr>
          <w:tblHeader w:val="true"/>
        </w:trPr>
        <w:tc>
          <w:tcPr/>
          <w:p>
            <w:pPr>
              <w:pStyle w:val="Compact"/>
              <w:jc w:val="left"/>
            </w:pPr>
            <w:r>
              <w:t xml:space="preserve">Field</w:t>
            </w:r>
          </w:p>
        </w:tc>
        <w:tc>
          <w:tcPr/>
          <w:p>
            <w:pPr>
              <w:pStyle w:val="Compact"/>
              <w:jc w:val="left"/>
            </w:pPr>
            <w:r>
              <w:t xml:space="preserve">Your response</w:t>
            </w:r>
          </w:p>
        </w:tc>
      </w:tr>
      <w:tr>
        <w:tc>
          <w:tcPr/>
          <w:p>
            <w:pPr>
              <w:pStyle w:val="Compact"/>
              <w:jc w:val="left"/>
            </w:pPr>
            <w:r>
              <w:t xml:space="preserve">Name of the authorizing person</w:t>
            </w:r>
          </w:p>
        </w:tc>
        <w:tc>
          <w:tcPr/>
          <w:p>
            <w:pPr>
              <w:pStyle w:val="Compact"/>
            </w:pPr>
          </w:p>
        </w:tc>
      </w:tr>
      <w:tr>
        <w:tc>
          <w:tcPr/>
          <w:p>
            <w:pPr>
              <w:pStyle w:val="Compact"/>
              <w:jc w:val="left"/>
            </w:pPr>
            <w:r>
              <w:t xml:space="preserve">Role or title (a person with authority; a manager or sponsor over the project is acceptable, not necessarily a director)</w:t>
            </w:r>
          </w:p>
        </w:tc>
        <w:tc>
          <w:tcPr/>
          <w:p>
            <w:pPr>
              <w:pStyle w:val="Compact"/>
            </w:pPr>
          </w:p>
        </w:tc>
      </w:tr>
      <w:tr>
        <w:tc>
          <w:tcPr/>
          <w:p>
            <w:pPr>
              <w:pStyle w:val="Compact"/>
              <w:jc w:val="left"/>
            </w:pPr>
            <w:r>
              <w:t xml:space="preserve">Organization</w:t>
            </w:r>
          </w:p>
        </w:tc>
        <w:tc>
          <w:tcPr/>
          <w:p>
            <w:pPr>
              <w:pStyle w:val="Compact"/>
            </w:pPr>
          </w:p>
        </w:tc>
      </w:tr>
      <w:tr>
        <w:tc>
          <w:tcPr/>
          <w:p>
            <w:pPr>
              <w:pStyle w:val="Compact"/>
              <w:jc w:val="left"/>
            </w:pPr>
            <w:r>
              <w:t xml:space="preserve">Contact (so AIPM can verify)</w:t>
            </w:r>
          </w:p>
        </w:tc>
        <w:tc>
          <w:tcPr/>
          <w:p>
            <w:pPr>
              <w:pStyle w:val="Compact"/>
            </w:pPr>
          </w:p>
        </w:tc>
      </w:tr>
      <w:tr>
        <w:tc>
          <w:tcPr/>
          <w:p>
            <w:pPr>
              <w:pStyle w:val="Compact"/>
              <w:jc w:val="left"/>
            </w:pPr>
            <w:r>
              <w:t xml:space="preserve">Statement</w:t>
            </w:r>
          </w:p>
        </w:tc>
        <w:tc>
          <w:tcPr/>
          <w:p>
            <w:pPr>
              <w:pStyle w:val="Compact"/>
              <w:jc w:val="left"/>
            </w:pPr>
            <w:r>
              <w:t xml:space="preserve">“</w:t>
            </w:r>
            <w:r>
              <w:t xml:space="preserve">I authorize this project to be submitted to the AIPM AI Project of the Year Award and I authorize case-study publication under the consent in Section 9.</w:t>
            </w:r>
            <w:r>
              <w:t xml:space="preserve">”</w:t>
            </w:r>
          </w:p>
        </w:tc>
      </w:tr>
      <w:tr>
        <w:tc>
          <w:tcPr/>
          <w:p>
            <w:pPr>
              <w:pStyle w:val="Compact"/>
              <w:jc w:val="left"/>
            </w:pPr>
            <w:r>
              <w:t xml:space="preserve">Signature (typed name is accepted)</w:t>
            </w:r>
          </w:p>
        </w:tc>
        <w:tc>
          <w:tcPr/>
          <w:p>
            <w:pPr>
              <w:pStyle w:val="Compact"/>
            </w:pPr>
          </w:p>
        </w:tc>
      </w:tr>
      <w:tr>
        <w:tc>
          <w:tcPr/>
          <w:p>
            <w:pPr>
              <w:pStyle w:val="Compact"/>
              <w:jc w:val="left"/>
            </w:pPr>
            <w:r>
              <w:t xml:space="preserve">Date</w:t>
            </w:r>
          </w:p>
        </w:tc>
        <w:tc>
          <w:tcPr/>
          <w:p>
            <w:pPr>
              <w:pStyle w:val="Compact"/>
            </w:pPr>
          </w:p>
        </w:tc>
      </w:tr>
    </w:tbl>
    <w:p>
      <w:pPr>
        <w:pStyle w:val="BodyText"/>
      </w:pPr>
      <w:r>
        <w:rPr>
          <w:rStyle w:val="VerbatimChar"/>
        </w:rPr>
        <w:t xml:space="preserve">[GUIDANCE: For a self-nomination where you personally hold the authority, you may sign here yourself; the test is that the signer genuinely has the authority to authorize the entry and consent to publication, and that AIPM can verify it. Delete this guidance block before submitting.]</w:t>
      </w:r>
    </w:p>
    <w:p>
      <w:pPr>
        <w:pStyle w:val="BodyText"/>
      </w:pPr>
      <w:r>
        <w:rPr>
          <w:bCs/>
          <w:b/>
        </w:rPr>
        <w:t xml:space="preserve">8.2 Truthfulness declaration by the Lead Nominator (Rules clause 6.3).</w:t>
      </w:r>
    </w:p>
    <w:p>
      <w:pPr>
        <w:pStyle w:val="BodyText"/>
      </w:pPr>
      <w:r>
        <w:t xml:space="preserve">Statement:</w:t>
      </w:r>
      <w:r>
        <w:t xml:space="preserve"> </w:t>
      </w:r>
      <w:r>
        <w:t xml:space="preserve">“</w:t>
      </w:r>
      <w:r>
        <w:t xml:space="preserve">I, the Lead Nominator, declare that the information in this entry is true and accurate to the best of my knowledge, that the evidence provided genuinely supports the claims made, and that this entry is human-authored (Rules clause 9.2).</w:t>
      </w:r>
      <w:r>
        <w:t xml:space="preserv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Your response</w:t>
            </w:r>
          </w:p>
        </w:tc>
      </w:tr>
      <w:tr>
        <w:tc>
          <w:tcPr/>
          <w:p>
            <w:pPr>
              <w:pStyle w:val="Compact"/>
              <w:jc w:val="left"/>
            </w:pPr>
            <w:r>
              <w:t xml:space="preserve">Lead Nominator signature (typed name is accepted)</w:t>
            </w:r>
          </w:p>
        </w:tc>
        <w:tc>
          <w:tcPr/>
          <w:p>
            <w:pPr>
              <w:pStyle w:val="Compact"/>
            </w:pPr>
          </w:p>
        </w:tc>
      </w:tr>
      <w:tr>
        <w:tc>
          <w:tcPr/>
          <w:p>
            <w:pPr>
              <w:pStyle w:val="Compact"/>
              <w:jc w:val="left"/>
            </w:pPr>
            <w:r>
              <w:t xml:space="preserve">Date</w:t>
            </w:r>
          </w:p>
        </w:tc>
        <w:tc>
          <w:tcPr/>
          <w:p>
            <w:pPr>
              <w:pStyle w:val="Compact"/>
            </w:pPr>
          </w:p>
        </w:tc>
      </w:tr>
    </w:tbl>
    <w:p>
      <w:pPr>
        <w:pStyle w:val="BodyText"/>
      </w:pPr>
      <w:r>
        <w:rPr>
          <w:bCs/>
          <w:b/>
        </w:rPr>
        <w:t xml:space="preserve">8.3 Audit-rights acknowledgment (Rules clause 6.4).</w:t>
      </w:r>
      <w:r>
        <w:t xml:space="preserve"> </w:t>
      </w:r>
      <w:r>
        <w:t xml:space="preserve">By submitting, the Lead Nominator acknowledges that AIPM may verify any information in this entry and request supporting evidence during evaluation, and that material misrepresentation disqualifies the entry.</w:t>
      </w:r>
    </w:p>
    <w:p>
      <w:pPr>
        <w:pStyle w:val="BodyText"/>
      </w:pPr>
      <w:r>
        <w:t xml:space="preserve">Acknowledged: [yes / no]</w:t>
      </w:r>
    </w:p>
    <w:p>
      <w:r>
        <w:pict>
          <v:rect style="width:0;height:1.5pt" o:hralign="center" o:hrstd="t" o:hr="t"/>
        </w:pict>
      </w:r>
    </w:p>
    <w:bookmarkEnd w:id="35"/>
    <w:bookmarkStart w:id="36" w:name="consents"/>
    <w:p>
      <w:pPr>
        <w:pStyle w:val="Heading2"/>
      </w:pPr>
      <w:r>
        <w:t xml:space="preserve">9. Consents</w:t>
      </w:r>
    </w:p>
    <w:p>
      <w:pPr>
        <w:pStyle w:val="FirstParagraph"/>
      </w:pPr>
      <w:r>
        <w:rPr>
          <w:rStyle w:val="VerbatimChar"/>
        </w:rPr>
        <w:t xml:space="preserve">[GUIDANCE: Both consents are part of a complete, eligible entry. Complete both. Delete this guidance block before submitting.]</w:t>
      </w:r>
    </w:p>
    <w:p>
      <w:pPr>
        <w:pStyle w:val="BodyText"/>
      </w:pPr>
      <w:r>
        <w:rPr>
          <w:bCs/>
          <w:b/>
        </w:rPr>
        <w:t xml:space="preserve">9.1 Case-study consent (required at entry; Rules clauses 4.1.7 and 12.1).</w:t>
      </w:r>
      <w:r>
        <w:t xml:space="preserve"> </w:t>
      </w:r>
      <w:r>
        <w:t xml:space="preserve">Publishable case-study consent is required at entry, with confidentiality safeguards and the ability to withhold specified confidential details. An entry for which this consent is withheld is not eligible (Rules clause 4.2.7).</w:t>
      </w:r>
    </w:p>
    <w:tbl>
      <w:tblPr>
        <w:tblStyle w:val="Table"/>
        <w:tblW w:type="pct" w:w="5000"/>
        <w:tblLook w:firstRow="1" w:lastRow="0" w:firstColumn="0" w:lastColumn="0" w:noHBand="0" w:noVBand="0" w:val="0020"/>
        <w:jc w:val="start"/>
      </w:tblPr>
      <w:tblGrid>
        <w:gridCol w:w="2520"/>
        <w:gridCol w:w="5400"/>
      </w:tblGrid>
      <w:tr>
        <w:trPr>
          <w:tblHeader w:val="true"/>
        </w:trPr>
        <w:tc>
          <w:tcPr/>
          <w:p>
            <w:pPr>
              <w:pStyle w:val="Compact"/>
              <w:jc w:val="left"/>
            </w:pPr>
            <w:r>
              <w:t xml:space="preserve">Field</w:t>
            </w:r>
          </w:p>
        </w:tc>
        <w:tc>
          <w:tcPr/>
          <w:p>
            <w:pPr>
              <w:pStyle w:val="Compact"/>
              <w:jc w:val="left"/>
            </w:pPr>
            <w:r>
              <w:t xml:space="preserve">Your response</w:t>
            </w:r>
          </w:p>
        </w:tc>
      </w:tr>
      <w:tr>
        <w:tc>
          <w:tcPr/>
          <w:p>
            <w:pPr>
              <w:pStyle w:val="Compact"/>
              <w:jc w:val="left"/>
            </w:pPr>
            <w:r>
              <w:t xml:space="preserve">Consent statement</w:t>
            </w:r>
          </w:p>
        </w:tc>
        <w:tc>
          <w:tcPr/>
          <w:p>
            <w:pPr>
              <w:pStyle w:val="Compact"/>
              <w:jc w:val="left"/>
            </w:pPr>
            <w:r>
              <w:t xml:space="preserve">“</w:t>
            </w:r>
            <w:r>
              <w:t xml:space="preserve">I consent to AIPM publishing a case study based on this entry, subject to the confidentiality safeguards below.</w:t>
            </w:r>
            <w:r>
              <w:t xml:space="preserve">”</w:t>
            </w:r>
          </w:p>
        </w:tc>
      </w:tr>
      <w:tr>
        <w:tc>
          <w:tcPr/>
          <w:p>
            <w:pPr>
              <w:pStyle w:val="Compact"/>
              <w:jc w:val="left"/>
            </w:pPr>
            <w:r>
              <w:t xml:space="preserve">Consent given</w:t>
            </w:r>
          </w:p>
        </w:tc>
        <w:tc>
          <w:tcPr/>
          <w:p>
            <w:pPr>
              <w:pStyle w:val="Compact"/>
              <w:jc w:val="left"/>
            </w:pPr>
            <w:r>
              <w:t xml:space="preserve">[yes / no]</w:t>
            </w:r>
          </w:p>
        </w:tc>
      </w:tr>
      <w:tr>
        <w:tc>
          <w:tcPr/>
          <w:p>
            <w:pPr>
              <w:pStyle w:val="Compact"/>
              <w:jc w:val="left"/>
            </w:pPr>
            <w:r>
              <w:t xml:space="preserve">Confidential details to withhold (optional; specify)</w:t>
            </w:r>
          </w:p>
        </w:tc>
        <w:tc>
          <w:tcPr/>
          <w:p>
            <w:pPr>
              <w:pStyle w:val="Compact"/>
            </w:pPr>
          </w:p>
        </w:tc>
      </w:tr>
    </w:tbl>
    <w:p>
      <w:pPr>
        <w:pStyle w:val="BodyText"/>
      </w:pPr>
      <w:r>
        <w:rPr>
          <w:rStyle w:val="VerbatimChar"/>
        </w:rPr>
        <w:t xml:space="preserve">[GUIDANCE: Use the withhold field to name any specific figures, client names, or details that must not be published. You may withhold specified confidential details without withholding consent itself. Consenting in general while protecting a few specifics is normal and expected. You may not withhold the required responsible-AI evidence, adoption data, or human-oversight evidence in full (Section 6). Delete this guidance block before submitting.]</w:t>
      </w:r>
    </w:p>
    <w:p>
      <w:pPr>
        <w:pStyle w:val="BodyText"/>
      </w:pPr>
      <w:r>
        <w:rPr>
          <w:bCs/>
          <w:b/>
        </w:rPr>
        <w:t xml:space="preserve">9.2 Data-forwarding consent (Rules clause 12.2).</w:t>
      </w:r>
      <w:r>
        <w:t xml:space="preserve"> </w:t>
      </w:r>
      <w:r>
        <w:t xml:space="preserve">The Lead Nominator consents to AIPM forwarding a regional entry’s data to the global jury, so that an entry promoted from its region can be re-scored in the global round (Rules clauses 7.6 and 8.7). This clause is adopted from the PMI-GO consent-to-forward-data clause. Regional scores are not carried forward; forwarding is about your data reaching the global panel, not your regional score.</w:t>
      </w:r>
    </w:p>
    <w:tbl>
      <w:tblPr>
        <w:tblStyle w:val="Table"/>
        <w:tblW w:type="pct" w:w="5000"/>
        <w:tblLook w:firstRow="1" w:lastRow="0" w:firstColumn="0" w:lastColumn="0" w:noHBand="0" w:noVBand="0" w:val="0020"/>
        <w:jc w:val="start"/>
      </w:tblPr>
      <w:tblGrid>
        <w:gridCol w:w="2520"/>
        <w:gridCol w:w="5400"/>
      </w:tblGrid>
      <w:tr>
        <w:trPr>
          <w:tblHeader w:val="true"/>
        </w:trPr>
        <w:tc>
          <w:tcPr/>
          <w:p>
            <w:pPr>
              <w:pStyle w:val="Compact"/>
              <w:jc w:val="left"/>
            </w:pPr>
            <w:r>
              <w:t xml:space="preserve">Field</w:t>
            </w:r>
          </w:p>
        </w:tc>
        <w:tc>
          <w:tcPr/>
          <w:p>
            <w:pPr>
              <w:pStyle w:val="Compact"/>
              <w:jc w:val="left"/>
            </w:pPr>
            <w:r>
              <w:t xml:space="preserve">Your response</w:t>
            </w:r>
          </w:p>
        </w:tc>
      </w:tr>
      <w:tr>
        <w:tc>
          <w:tcPr/>
          <w:p>
            <w:pPr>
              <w:pStyle w:val="Compact"/>
              <w:jc w:val="left"/>
            </w:pPr>
            <w:r>
              <w:t xml:space="preserve">Consent statement</w:t>
            </w:r>
          </w:p>
        </w:tc>
        <w:tc>
          <w:tcPr/>
          <w:p>
            <w:pPr>
              <w:pStyle w:val="Compact"/>
              <w:jc w:val="left"/>
            </w:pPr>
            <w:r>
              <w:t xml:space="preserve">“</w:t>
            </w:r>
            <w:r>
              <w:t xml:space="preserve">I consent to this entry’s data being forwarded to the global jury if it is promoted from its region.</w:t>
            </w:r>
            <w:r>
              <w:t xml:space="preserve">”</w:t>
            </w:r>
          </w:p>
        </w:tc>
      </w:tr>
      <w:tr>
        <w:tc>
          <w:tcPr/>
          <w:p>
            <w:pPr>
              <w:pStyle w:val="Compact"/>
              <w:jc w:val="left"/>
            </w:pPr>
            <w:r>
              <w:t xml:space="preserve">Consent given</w:t>
            </w:r>
          </w:p>
        </w:tc>
        <w:tc>
          <w:tcPr/>
          <w:p>
            <w:pPr>
              <w:pStyle w:val="Compact"/>
              <w:jc w:val="left"/>
            </w:pPr>
            <w:r>
              <w:t xml:space="preserve">[yes / no]</w:t>
            </w:r>
          </w:p>
        </w:tc>
      </w:tr>
    </w:tbl>
    <w:p>
      <w:r>
        <w:pict>
          <v:rect style="width:0;height:1.5pt" o:hralign="center" o:hrstd="t" o:hr="t"/>
        </w:pict>
      </w:r>
    </w:p>
    <w:bookmarkEnd w:id="36"/>
    <w:bookmarkStart w:id="37" w:name="submission-checklist"/>
    <w:p>
      <w:pPr>
        <w:pStyle w:val="Heading2"/>
      </w:pPr>
      <w:r>
        <w:t xml:space="preserve">10. Submission checklist</w:t>
      </w:r>
    </w:p>
    <w:p>
      <w:pPr>
        <w:pStyle w:val="FirstParagraph"/>
      </w:pPr>
      <w:r>
        <w:rPr>
          <w:rStyle w:val="VerbatimChar"/>
        </w:rPr>
        <w:t xml:space="preserve">[GUIDANCE: Confirm each item before you submit as final. Delete this guidance block before submitting.]</w:t>
      </w:r>
    </w:p>
    <w:p>
      <w:pPr>
        <w:pStyle w:val="BodyText"/>
      </w:pPr>
      <w:r>
        <w:t xml:space="preserve">Tick each item.</w:t>
      </w:r>
    </w:p>
    <w:p>
      <w:pPr>
        <w:numPr>
          <w:ilvl w:val="0"/>
          <w:numId w:val="1004"/>
        </w:numPr>
        <w:pStyle w:val="Compact"/>
      </w:pPr>
      <w:r>
        <w:t xml:space="preserve">☐ Every bracketed guidance block (</w:t>
      </w:r>
      <w:r>
        <w:rPr>
          <w:rStyle w:val="VerbatimChar"/>
        </w:rPr>
        <w:t xml:space="preserve">[GUIDANCE ...]</w:t>
      </w:r>
      <w:r>
        <w:t xml:space="preserve">) has been deleted (Rules clause 6.6.4).</w:t>
      </w:r>
    </w:p>
    <w:p>
      <w:pPr>
        <w:numPr>
          <w:ilvl w:val="0"/>
          <w:numId w:val="1004"/>
        </w:numPr>
        <w:pStyle w:val="Compact"/>
      </w:pPr>
      <w:r>
        <w:t xml:space="preserve">☐ The first-gate summary is at most 180 characters, including spaces (Section 3; Rules clause 5.3).</w:t>
      </w:r>
    </w:p>
    <w:p>
      <w:pPr>
        <w:numPr>
          <w:ilvl w:val="0"/>
          <w:numId w:val="1004"/>
        </w:numPr>
        <w:pStyle w:val="Compact"/>
      </w:pPr>
      <w:r>
        <w:t xml:space="preserve">☐ A single named Lead Nominator owns the entry, and the nomination type is marked (Sections 4.1 and 4.2; Rules clauses 2.2 and 5.1).</w:t>
      </w:r>
    </w:p>
    <w:p>
      <w:pPr>
        <w:numPr>
          <w:ilvl w:val="0"/>
          <w:numId w:val="1004"/>
        </w:numPr>
        <w:pStyle w:val="Compact"/>
      </w:pPr>
      <w:r>
        <w:t xml:space="preserve">☐ The eligibility self-check is complete (Section 4.4; Rules Section 4).</w:t>
      </w:r>
    </w:p>
    <w:p>
      <w:pPr>
        <w:numPr>
          <w:ilvl w:val="0"/>
          <w:numId w:val="1004"/>
        </w:numPr>
        <w:pStyle w:val="Compact"/>
      </w:pPr>
      <w:r>
        <w:t xml:space="preserve">☐ All six questionnaire sections are answered within their recommended word budgets, and each names its supporting evidence-pack items (Section 5; Rules clause 6.6.3).</w:t>
      </w:r>
    </w:p>
    <w:p>
      <w:pPr>
        <w:numPr>
          <w:ilvl w:val="0"/>
          <w:numId w:val="1004"/>
        </w:numPr>
        <w:pStyle w:val="Compact"/>
      </w:pPr>
      <w:r>
        <w:t xml:space="preserve">☐ The completed form is within the recommended 10-page budget (clause 1.9).</w:t>
      </w:r>
    </w:p>
    <w:p>
      <w:pPr>
        <w:numPr>
          <w:ilvl w:val="0"/>
          <w:numId w:val="1004"/>
        </w:numPr>
        <w:pStyle w:val="Compact"/>
      </w:pPr>
      <w:r>
        <w:t xml:space="preserve">☐ The layout is unchanged (Rules clause 6.6.2) and the core answers carry the content directly, with no links inside the form (Rules clause 6.6.1).</w:t>
      </w:r>
    </w:p>
    <w:p>
      <w:pPr>
        <w:numPr>
          <w:ilvl w:val="0"/>
          <w:numId w:val="1004"/>
        </w:numPr>
        <w:pStyle w:val="Compact"/>
      </w:pPr>
      <w:r>
        <w:t xml:space="preserve">☐ The evidence pack includes the three required artifacts: AI governance or ethics review, adoption data, and human-oversight evidence (Section 6; Rules clauses 4.1.5 and 4.1.6).</w:t>
      </w:r>
    </w:p>
    <w:p>
      <w:pPr>
        <w:numPr>
          <w:ilvl w:val="0"/>
          <w:numId w:val="1004"/>
        </w:numPr>
        <w:pStyle w:val="Compact"/>
      </w:pPr>
      <w:r>
        <w:t xml:space="preserve">☐ The short video is within the recommended 3-minute maximum and its link opens without a login (Section 7; Rules clause 6.5).</w:t>
      </w:r>
    </w:p>
    <w:p>
      <w:pPr>
        <w:numPr>
          <w:ilvl w:val="0"/>
          <w:numId w:val="1004"/>
        </w:numPr>
        <w:pStyle w:val="Compact"/>
      </w:pPr>
      <w:r>
        <w:t xml:space="preserve">☐ Every link the entry relies on opens without a login and is not a dead link, checked from a signed-out browser (Rules clauses 6.5 and 4.2.5).</w:t>
      </w:r>
    </w:p>
    <w:p>
      <w:pPr>
        <w:numPr>
          <w:ilvl w:val="0"/>
          <w:numId w:val="1004"/>
        </w:numPr>
        <w:pStyle w:val="Compact"/>
      </w:pPr>
      <w:r>
        <w:t xml:space="preserve">☐ The signed authorization and the truthfulness declaration are complete, and the audit right is acknowledged (Section 8; Rules clauses 6.2, 6.3, and 6.4).</w:t>
      </w:r>
    </w:p>
    <w:p>
      <w:pPr>
        <w:numPr>
          <w:ilvl w:val="0"/>
          <w:numId w:val="1004"/>
        </w:numPr>
        <w:pStyle w:val="Compact"/>
      </w:pPr>
      <w:r>
        <w:t xml:space="preserve">☐ Both consents (case-study and data-forwarding) are given (Section 9; Rules clauses 12.1 and 12.2).</w:t>
      </w:r>
    </w:p>
    <w:p>
      <w:pPr>
        <w:numPr>
          <w:ilvl w:val="0"/>
          <w:numId w:val="1004"/>
        </w:numPr>
        <w:pStyle w:val="Compact"/>
      </w:pPr>
      <w:r>
        <w:t xml:space="preserve">☐ This is the final submission (only the final submission is judged; Rules clause 5.4).</w:t>
      </w:r>
    </w:p>
    <w:p>
      <w:r>
        <w:pict>
          <v:rect style="width:0;height:1.5pt" o:hralign="center" o:hrstd="t" o:hr="t"/>
        </w:pict>
      </w:r>
    </w:p>
    <w:p>
      <w:pPr>
        <w:pStyle w:val="FirstParagraph"/>
      </w:pPr>
      <w:r>
        <w:rPr>
          <w:iCs/>
          <w:i/>
        </w:rPr>
        <w:t xml:space="preserve">End of nomination form (edition 1, Wave C release candidate). Derived from</w:t>
      </w:r>
      <w:r>
        <w:rPr>
          <w:iCs/>
          <w:i/>
        </w:rPr>
        <w:t xml:space="preserve"> </w:t>
      </w:r>
      <w:r>
        <w:rPr>
          <w:rStyle w:val="VerbatimChar"/>
          <w:iCs/>
          <w:i/>
        </w:rPr>
        <w:t xml:space="preserve">operating-rules.md</w:t>
      </w:r>
      <w:r>
        <w:rPr>
          <w:iCs/>
          <w:i/>
        </w:rPr>
        <w:t xml:space="preserve">; the operating rules prevail on any conflict, and this form is a sibling of</w:t>
      </w:r>
      <w:r>
        <w:rPr>
          <w:iCs/>
          <w:i/>
        </w:rPr>
        <w:t xml:space="preserve"> </w:t>
      </w:r>
      <w:r>
        <w:rPr>
          <w:rStyle w:val="VerbatimChar"/>
          <w:iCs/>
          <w:i/>
        </w:rPr>
        <w:t xml:space="preserve">judge-guide.md</w:t>
      </w:r>
      <w:r>
        <w:rPr>
          <w:iCs/>
          <w:i/>
        </w:rPr>
        <w:t xml:space="preserve">,</w:t>
      </w:r>
      <w:r>
        <w:rPr>
          <w:iCs/>
          <w:i/>
        </w:rPr>
        <w:t xml:space="preserve"> </w:t>
      </w:r>
      <w:r>
        <w:rPr>
          <w:rStyle w:val="VerbatimChar"/>
          <w:iCs/>
          <w:i/>
        </w:rPr>
        <w:t xml:space="preserve">scoring-sheet-spec.md</w:t>
      </w:r>
      <w:r>
        <w:rPr>
          <w:iCs/>
          <w:i/>
        </w:rPr>
        <w:t xml:space="preserve">, and</w:t>
      </w:r>
      <w:r>
        <w:rPr>
          <w:iCs/>
          <w:i/>
        </w:rPr>
        <w:t xml:space="preserve"> </w:t>
      </w:r>
      <w:r>
        <w:rPr>
          <w:rStyle w:val="VerbatimChar"/>
          <w:iCs/>
          <w:i/>
        </w:rPr>
        <w:t xml:space="preserve">evidence-pack-guide.md</w:t>
      </w:r>
      <w:r>
        <w:rPr>
          <w:iCs/>
          <w:i/>
        </w:rPr>
        <w:t xml:space="preserve">. The page budget (clause 1.9), the per-section word budgets (Section 5), and the maximum video length (clause 7.2) are the working team’s recommended operational values under Rules clause 6.6.5, pending forum and subgroup confirmation; the 180-character first gate (Section 3) is fixed by Rules clause 5.3, not recommended. Ships to nominators as an editable DOCX. Pending fold-in of the subgroup comments due 2026-07-15 and ratification by the founders’ forum.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2026-07-11T18:36:17Z</dcterms:created>
  <dcterms:modified xsi:type="dcterms:W3CDTF">2026-07-11T18:36:17Z</dcterms:modified>
</cp:coreProperties>
</file>

<file path=docProps/custom.xml><?xml version="1.0" encoding="utf-8"?>
<Properties xmlns="http://schemas.openxmlformats.org/officeDocument/2006/custom-properties" xmlns:vt="http://schemas.openxmlformats.org/officeDocument/2006/docPropsVTypes"/>
</file>